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4A55E" w14:textId="57580FFC" w:rsidR="00715EDB" w:rsidRDefault="00DB436A" w:rsidP="00715EDB">
      <w:pPr>
        <w:pStyle w:val="Heading1"/>
        <w:spacing w:before="60" w:line="250" w:lineRule="auto"/>
        <w:ind w:left="5707" w:right="117" w:firstLine="2277"/>
        <w:jc w:val="right"/>
        <w:rPr>
          <w:rFonts w:ascii="Arial" w:eastAsia="Arial" w:hAnsi="Arial" w:cs="Arial"/>
          <w:b w:val="0"/>
          <w:bCs w:val="0"/>
        </w:rPr>
      </w:pPr>
      <w:bookmarkStart w:id="0" w:name="PutDocumentNumberHere"/>
      <w:r>
        <w:rPr>
          <w:rFonts w:ascii="Verdana" w:hAnsi="Verdana"/>
        </w:rPr>
        <w:br/>
      </w:r>
      <w:bookmarkEnd w:id="0"/>
      <w:r w:rsidR="00715EDB">
        <w:rPr>
          <w:rFonts w:ascii="Arial"/>
        </w:rPr>
        <w:t>Proceedings of the ASME 2021 15th International</w:t>
      </w:r>
      <w:r w:rsidR="00715EDB">
        <w:rPr>
          <w:rFonts w:ascii="Arial"/>
          <w:spacing w:val="-1"/>
        </w:rPr>
        <w:t xml:space="preserve"> </w:t>
      </w:r>
      <w:r w:rsidR="00715EDB">
        <w:rPr>
          <w:rFonts w:ascii="Arial"/>
          <w:spacing w:val="-1"/>
        </w:rPr>
        <w:br/>
      </w:r>
      <w:r w:rsidR="00715EDB">
        <w:rPr>
          <w:rFonts w:ascii="Arial"/>
        </w:rPr>
        <w:t>Conference on</w:t>
      </w:r>
      <w:r w:rsidR="00715EDB">
        <w:rPr>
          <w:rFonts w:ascii="Arial"/>
          <w:spacing w:val="-1"/>
        </w:rPr>
        <w:t xml:space="preserve"> </w:t>
      </w:r>
      <w:r w:rsidR="00715EDB">
        <w:rPr>
          <w:rFonts w:ascii="Arial"/>
        </w:rPr>
        <w:t>Energy Sustainability</w:t>
      </w:r>
    </w:p>
    <w:p w14:paraId="3FE8DC7E" w14:textId="77777777" w:rsidR="00715EDB" w:rsidRDefault="00715EDB" w:rsidP="00715EDB">
      <w:pPr>
        <w:ind w:right="118"/>
        <w:jc w:val="right"/>
        <w:rPr>
          <w:rFonts w:ascii="Arial" w:eastAsia="Arial" w:hAnsi="Arial" w:cs="Arial"/>
        </w:rPr>
      </w:pPr>
      <w:r>
        <w:rPr>
          <w:rFonts w:ascii="Arial"/>
          <w:b/>
          <w:w w:val="95"/>
        </w:rPr>
        <w:t>ES2021</w:t>
      </w:r>
    </w:p>
    <w:p w14:paraId="635FA357" w14:textId="77777777" w:rsidR="00715EDB" w:rsidRDefault="00715EDB" w:rsidP="00715EDB">
      <w:pPr>
        <w:spacing w:before="10"/>
        <w:ind w:right="118"/>
        <w:jc w:val="right"/>
        <w:rPr>
          <w:rFonts w:ascii="Arial" w:eastAsia="Arial" w:hAnsi="Arial" w:cs="Arial"/>
        </w:rPr>
      </w:pPr>
      <w:r>
        <w:rPr>
          <w:rFonts w:ascii="Arial"/>
          <w:b/>
        </w:rPr>
        <w:t>June 16-18, 2021, Virtual, Online</w:t>
      </w:r>
    </w:p>
    <w:p w14:paraId="670A2B14" w14:textId="77777777" w:rsidR="00715EDB" w:rsidRDefault="00715EDB" w:rsidP="00715EDB">
      <w:pPr>
        <w:rPr>
          <w:rFonts w:ascii="Arial" w:eastAsia="Arial" w:hAnsi="Arial" w:cs="Arial"/>
          <w:b/>
          <w:bCs/>
        </w:rPr>
      </w:pPr>
    </w:p>
    <w:p w14:paraId="0C237C61" w14:textId="77777777" w:rsidR="00715EDB" w:rsidRDefault="00715EDB" w:rsidP="00715EDB">
      <w:pPr>
        <w:spacing w:before="1"/>
        <w:rPr>
          <w:rFonts w:ascii="Arial" w:eastAsia="Arial" w:hAnsi="Arial" w:cs="Arial"/>
          <w:b/>
          <w:bCs/>
          <w:sz w:val="21"/>
          <w:szCs w:val="21"/>
        </w:rPr>
      </w:pPr>
    </w:p>
    <w:p w14:paraId="48674E1C" w14:textId="5235C3A3" w:rsidR="00715EDB" w:rsidRDefault="00715EDB" w:rsidP="00715EDB">
      <w:pPr>
        <w:ind w:right="118"/>
        <w:jc w:val="right"/>
        <w:rPr>
          <w:rFonts w:ascii="Arial" w:eastAsia="Arial" w:hAnsi="Arial" w:cs="Arial"/>
          <w:sz w:val="36"/>
          <w:szCs w:val="36"/>
        </w:rPr>
      </w:pPr>
      <w:r>
        <w:rPr>
          <w:rFonts w:ascii="Arial"/>
          <w:b/>
          <w:w w:val="95"/>
          <w:sz w:val="36"/>
        </w:rPr>
        <w:t>ES2021-</w:t>
      </w:r>
      <w:r w:rsidR="006A0F83">
        <w:rPr>
          <w:rFonts w:ascii="Arial"/>
          <w:b/>
          <w:w w:val="95"/>
          <w:sz w:val="36"/>
        </w:rPr>
        <w:t>64050</w:t>
      </w:r>
    </w:p>
    <w:p w14:paraId="5F583639" w14:textId="3E2C5CD7" w:rsidR="008B61D2" w:rsidRPr="00A5037A" w:rsidRDefault="008B61D2" w:rsidP="00715EDB">
      <w:pPr>
        <w:jc w:val="right"/>
        <w:rPr>
          <w:rFonts w:ascii="Arial" w:hAnsi="Arial" w:cs="Arial"/>
          <w:b/>
          <w:sz w:val="32"/>
          <w:szCs w:val="32"/>
        </w:rPr>
        <w:sectPr w:rsidR="008B61D2" w:rsidRPr="00A5037A" w:rsidSect="001A2AC2">
          <w:footerReference w:type="default" r:id="rId8"/>
          <w:type w:val="continuous"/>
          <w:pgSz w:w="12240" w:h="15840"/>
          <w:pgMar w:top="720" w:right="720" w:bottom="1440" w:left="720" w:header="720" w:footer="720" w:gutter="0"/>
          <w:cols w:space="720"/>
        </w:sectPr>
      </w:pPr>
    </w:p>
    <w:p w14:paraId="5625247D" w14:textId="75E40504" w:rsidR="008B61D2" w:rsidRPr="0012344E" w:rsidRDefault="00FA3567">
      <w:pPr>
        <w:pStyle w:val="Title"/>
        <w:rPr>
          <w:sz w:val="22"/>
          <w:szCs w:val="22"/>
        </w:rPr>
      </w:pPr>
      <w:bookmarkStart w:id="1" w:name="_GoBack"/>
      <w:r w:rsidRPr="00FA3567">
        <w:rPr>
          <w:sz w:val="22"/>
          <w:szCs w:val="22"/>
        </w:rPr>
        <w:t>Development and Testing of a 20 kW Moving Packed-Bed Particle-to-sCO2 Heat Exchanger and Test Facility</w:t>
      </w:r>
    </w:p>
    <w:bookmarkEnd w:id="1"/>
    <w:p w14:paraId="69F5ABF2" w14:textId="77777777" w:rsidR="008B61D2" w:rsidRDefault="008B61D2"/>
    <w:p w14:paraId="10D24945" w14:textId="77777777" w:rsidR="008B61D2" w:rsidRDefault="008B61D2"/>
    <w:tbl>
      <w:tblPr>
        <w:tblW w:w="5000" w:type="pct"/>
        <w:tblLook w:val="0000" w:firstRow="0" w:lastRow="0" w:firstColumn="0" w:lastColumn="0" w:noHBand="0" w:noVBand="0"/>
      </w:tblPr>
      <w:tblGrid>
        <w:gridCol w:w="9360"/>
      </w:tblGrid>
      <w:tr w:rsidR="00FA3567" w14:paraId="14426530" w14:textId="77777777" w:rsidTr="00FA3567">
        <w:trPr>
          <w:trHeight w:val="1047"/>
        </w:trPr>
        <w:tc>
          <w:tcPr>
            <w:tcW w:w="5000" w:type="pct"/>
          </w:tcPr>
          <w:p w14:paraId="292D8F86" w14:textId="1970AB6C" w:rsidR="00FA3567" w:rsidRPr="007B2BF3" w:rsidRDefault="00FA3567">
            <w:pPr>
              <w:pStyle w:val="Author"/>
            </w:pPr>
            <w:bookmarkStart w:id="2" w:name="PutAuthorsHere"/>
            <w:r>
              <w:t>Kevin J. Albrecht</w:t>
            </w:r>
            <w:r w:rsidR="008B25D0" w:rsidRPr="008B25D0">
              <w:rPr>
                <w:vertAlign w:val="superscript"/>
              </w:rPr>
              <w:t>1</w:t>
            </w:r>
            <w:r>
              <w:t>, Hendrik F. Laubscher</w:t>
            </w:r>
            <w:r w:rsidR="008B25D0" w:rsidRPr="008B25D0">
              <w:rPr>
                <w:vertAlign w:val="superscript"/>
              </w:rPr>
              <w:t>1</w:t>
            </w:r>
            <w:r>
              <w:t>, Matthew D. Carlson</w:t>
            </w:r>
            <w:r w:rsidR="008B25D0" w:rsidRPr="008B25D0">
              <w:rPr>
                <w:vertAlign w:val="superscript"/>
              </w:rPr>
              <w:t>1</w:t>
            </w:r>
            <w:r>
              <w:t>, Clifford K. Ho</w:t>
            </w:r>
            <w:r w:rsidR="008B25D0" w:rsidRPr="008B25D0">
              <w:rPr>
                <w:vertAlign w:val="superscript"/>
              </w:rPr>
              <w:t>1</w:t>
            </w:r>
          </w:p>
          <w:p w14:paraId="27FDCBAE" w14:textId="77777777" w:rsidR="008B25D0" w:rsidRDefault="008B25D0">
            <w:pPr>
              <w:pStyle w:val="Author"/>
              <w:rPr>
                <w:b w:val="0"/>
              </w:rPr>
            </w:pPr>
          </w:p>
          <w:p w14:paraId="1D4FAA3B" w14:textId="56FA4D79" w:rsidR="00FA3567" w:rsidRDefault="008B25D0" w:rsidP="008B25D0">
            <w:pPr>
              <w:pStyle w:val="Author"/>
            </w:pPr>
            <w:r w:rsidRPr="008B25D0">
              <w:rPr>
                <w:b w:val="0"/>
                <w:vertAlign w:val="superscript"/>
              </w:rPr>
              <w:t>1</w:t>
            </w:r>
            <w:r>
              <w:rPr>
                <w:b w:val="0"/>
              </w:rPr>
              <w:t>Sandia National Laboratory, Albuquerque, NM</w:t>
            </w:r>
          </w:p>
        </w:tc>
      </w:tr>
      <w:bookmarkEnd w:id="2"/>
    </w:tbl>
    <w:p w14:paraId="3E733E9B" w14:textId="77777777" w:rsidR="008B61D2" w:rsidRDefault="008B61D2">
      <w:pPr>
        <w:sectPr w:rsidR="008B61D2" w:rsidSect="00A5037A">
          <w:type w:val="continuous"/>
          <w:pgSz w:w="12240" w:h="15840"/>
          <w:pgMar w:top="720" w:right="1440" w:bottom="720" w:left="1440" w:header="720" w:footer="720" w:gutter="0"/>
          <w:cols w:space="720"/>
        </w:sectPr>
      </w:pPr>
    </w:p>
    <w:p w14:paraId="66359174" w14:textId="77777777" w:rsidR="008B61D2" w:rsidRPr="0012344E" w:rsidRDefault="008B61D2">
      <w:pPr>
        <w:pStyle w:val="AbstractClauseTitle"/>
      </w:pPr>
      <w:r w:rsidRPr="0012344E">
        <w:t>Abstract</w:t>
      </w:r>
    </w:p>
    <w:p w14:paraId="301A047B" w14:textId="087E8A06" w:rsidR="003E27FF" w:rsidRPr="0012344E" w:rsidRDefault="00E663DD" w:rsidP="00E663DD">
      <w:pPr>
        <w:pStyle w:val="BodyTextIndent"/>
        <w:tabs>
          <w:tab w:val="left" w:pos="351"/>
        </w:tabs>
        <w:ind w:firstLine="0"/>
        <w:rPr>
          <w:i/>
        </w:rPr>
      </w:pPr>
      <w:r>
        <w:rPr>
          <w:i/>
        </w:rPr>
        <w:tab/>
      </w:r>
      <w:r w:rsidR="00FA3567" w:rsidRPr="00FA3567">
        <w:rPr>
          <w:i/>
        </w:rPr>
        <w:t>This paper describes the development of a facility for evaluating the performance of small-scale particle-to-sCO</w:t>
      </w:r>
      <w:r w:rsidR="00FA3567" w:rsidRPr="008B25D0">
        <w:rPr>
          <w:i/>
          <w:vertAlign w:val="subscript"/>
        </w:rPr>
        <w:t>2</w:t>
      </w:r>
      <w:r w:rsidR="00FA3567" w:rsidRPr="00FA3567">
        <w:rPr>
          <w:i/>
        </w:rPr>
        <w:t xml:space="preserve"> heat exchangers</w:t>
      </w:r>
      <w:r w:rsidR="00A5448B">
        <w:rPr>
          <w:i/>
        </w:rPr>
        <w:t>,</w:t>
      </w:r>
      <w:r w:rsidR="00FA3567" w:rsidRPr="00FA3567">
        <w:rPr>
          <w:i/>
        </w:rPr>
        <w:t xml:space="preserve"> which includes an isobaric sCO</w:t>
      </w:r>
      <w:r w:rsidR="00FA3567" w:rsidRPr="008B25D0">
        <w:rPr>
          <w:i/>
          <w:vertAlign w:val="subscript"/>
        </w:rPr>
        <w:t>2</w:t>
      </w:r>
      <w:r w:rsidR="00FA3567" w:rsidRPr="00FA3567">
        <w:rPr>
          <w:i/>
        </w:rPr>
        <w:t xml:space="preserve"> flow loop and an electrically heated particle flow loop. The particle flow loop is capable of delivering up to 60 kW of heat at a temperature of 600 °C and flow rate of 0.4 kg/s. The loop was developed to facilitate long duration off-sun testing of small prototype heat exchangers to produce model validation data at steady-state operating conditions. Lessons learned on instrumentation, control, and system integration from prior testing of larger heat exchangers with solar thermal input were used to guide the design of the test facility. In addition, the development and testing of a novel 20-kW</w:t>
      </w:r>
      <w:r w:rsidR="00FA3567" w:rsidRPr="008B25D0">
        <w:rPr>
          <w:i/>
          <w:vertAlign w:val="subscript"/>
        </w:rPr>
        <w:t>t</w:t>
      </w:r>
      <w:r w:rsidR="00FA3567" w:rsidRPr="00FA3567">
        <w:rPr>
          <w:i/>
        </w:rPr>
        <w:t xml:space="preserve"> moving packed-bed particle-to-sCO</w:t>
      </w:r>
      <w:r w:rsidR="00FA3567" w:rsidRPr="008B25D0">
        <w:rPr>
          <w:i/>
          <w:vertAlign w:val="subscript"/>
        </w:rPr>
        <w:t>2</w:t>
      </w:r>
      <w:r w:rsidR="00FA3567" w:rsidRPr="00FA3567">
        <w:rPr>
          <w:i/>
        </w:rPr>
        <w:t xml:space="preserve"> heat exchanger using the integrated flow loops is reported. The prototype heat exchanger implements many novel features for increasing thermal performance and reducing pressure drop which include integral porting of the sCO</w:t>
      </w:r>
      <w:r w:rsidR="00FA3567" w:rsidRPr="008B25D0">
        <w:rPr>
          <w:i/>
          <w:vertAlign w:val="subscript"/>
        </w:rPr>
        <w:t>2</w:t>
      </w:r>
      <w:r w:rsidR="00FA3567" w:rsidRPr="00FA3567">
        <w:rPr>
          <w:i/>
        </w:rPr>
        <w:t xml:space="preserve"> flow, unique bond/braze manufacturing, narrow plate spacing, and pure counter-flow arrangement. The experimental data collected for the prototype heat exchanger was compared to model predictions to verify the sizing, thermal performance, and pressure drop which will be extended to multi-megawatt heat exchanger designs in the future.</w:t>
      </w:r>
    </w:p>
    <w:p w14:paraId="712AA764" w14:textId="37116864" w:rsidR="00D02522" w:rsidRPr="005E134D" w:rsidRDefault="00E663DD" w:rsidP="00E663DD">
      <w:pPr>
        <w:pStyle w:val="BodyTextIndent"/>
        <w:tabs>
          <w:tab w:val="left" w:pos="369"/>
        </w:tabs>
        <w:ind w:firstLine="0"/>
        <w:rPr>
          <w:i/>
        </w:rPr>
      </w:pPr>
      <w:r>
        <w:tab/>
      </w:r>
      <w:r w:rsidR="00390A3A" w:rsidRPr="0012344E">
        <w:t xml:space="preserve">Keywords: </w:t>
      </w:r>
      <w:r w:rsidR="00CA3978">
        <w:t>Heat Exchanger, Particle, CO</w:t>
      </w:r>
      <w:r w:rsidR="00CA3978" w:rsidRPr="00CA3978">
        <w:rPr>
          <w:vertAlign w:val="subscript"/>
        </w:rPr>
        <w:t>2</w:t>
      </w:r>
    </w:p>
    <w:p w14:paraId="0C6496D3" w14:textId="77777777" w:rsidR="00390A3A" w:rsidRPr="0012344E" w:rsidRDefault="00390A3A" w:rsidP="00390A3A">
      <w:pPr>
        <w:pStyle w:val="NomenclatureClauseTitle"/>
      </w:pPr>
      <w:r w:rsidRPr="0012344E">
        <w:t>Nomenclature</w:t>
      </w:r>
    </w:p>
    <w:p w14:paraId="77AD4109" w14:textId="1B438452" w:rsidR="00390A3A" w:rsidRPr="0012344E" w:rsidRDefault="008A6CC9" w:rsidP="00390A3A">
      <w:pPr>
        <w:pStyle w:val="BodyTextIndent"/>
        <w:rPr>
          <w:kern w:val="0"/>
        </w:rPr>
      </w:pPr>
      <w:r>
        <w:rPr>
          <w:kern w:val="0"/>
        </w:rPr>
        <w:t>T</w:t>
      </w:r>
      <w:r w:rsidR="00390A3A" w:rsidRPr="0012344E">
        <w:rPr>
          <w:kern w:val="0"/>
        </w:rPr>
        <w:tab/>
      </w:r>
      <w:r w:rsidR="00390A3A" w:rsidRPr="0012344E">
        <w:rPr>
          <w:kern w:val="0"/>
        </w:rPr>
        <w:tab/>
      </w:r>
      <w:r>
        <w:rPr>
          <w:kern w:val="0"/>
        </w:rPr>
        <w:t>temperature</w:t>
      </w:r>
    </w:p>
    <w:p w14:paraId="4CA4E40A" w14:textId="344DD415" w:rsidR="00CA7293" w:rsidRDefault="008A6CC9" w:rsidP="005E134D">
      <w:pPr>
        <w:pStyle w:val="BodyTextIndent"/>
        <w:rPr>
          <w:kern w:val="0"/>
        </w:rPr>
      </w:pPr>
      <w:r>
        <w:rPr>
          <w:kern w:val="0"/>
        </w:rPr>
        <w:t>P</w:t>
      </w:r>
      <w:r w:rsidR="00390A3A" w:rsidRPr="0012344E">
        <w:rPr>
          <w:kern w:val="0"/>
        </w:rPr>
        <w:tab/>
      </w:r>
      <w:r w:rsidR="00390A3A" w:rsidRPr="0012344E">
        <w:rPr>
          <w:kern w:val="0"/>
        </w:rPr>
        <w:tab/>
      </w:r>
      <w:r>
        <w:rPr>
          <w:kern w:val="0"/>
        </w:rPr>
        <w:t>pressure</w:t>
      </w:r>
    </w:p>
    <w:p w14:paraId="28CDE918" w14:textId="553E0C84" w:rsidR="008A6CC9" w:rsidRDefault="00A764E7" w:rsidP="005E134D">
      <w:pPr>
        <w:pStyle w:val="BodyTextIndent"/>
        <w:rPr>
          <w:kern w:val="0"/>
        </w:rPr>
      </w:pPr>
      <w:r>
        <w:rPr>
          <w:kern w:val="0"/>
        </w:rPr>
        <w:t>ṁ</w:t>
      </w:r>
      <w:r w:rsidR="008A6CC9">
        <w:rPr>
          <w:kern w:val="0"/>
        </w:rPr>
        <w:tab/>
      </w:r>
      <w:r w:rsidR="008A6CC9">
        <w:rPr>
          <w:kern w:val="0"/>
        </w:rPr>
        <w:tab/>
        <w:t>mass flow rate</w:t>
      </w:r>
    </w:p>
    <w:p w14:paraId="36EA8101" w14:textId="102DFE99" w:rsidR="008A6CC9" w:rsidRDefault="008A6CC9" w:rsidP="005E134D">
      <w:pPr>
        <w:pStyle w:val="BodyTextIndent"/>
        <w:rPr>
          <w:kern w:val="0"/>
        </w:rPr>
      </w:pPr>
      <w:r>
        <w:rPr>
          <w:kern w:val="0"/>
        </w:rPr>
        <w:t>h</w:t>
      </w:r>
      <w:r>
        <w:rPr>
          <w:kern w:val="0"/>
        </w:rPr>
        <w:tab/>
      </w:r>
      <w:r>
        <w:rPr>
          <w:kern w:val="0"/>
        </w:rPr>
        <w:tab/>
        <w:t>enthalpy</w:t>
      </w:r>
    </w:p>
    <w:p w14:paraId="4F8CEB41" w14:textId="4120C686" w:rsidR="008A6CC9" w:rsidRPr="0012344E" w:rsidRDefault="008A6CC9" w:rsidP="005E134D">
      <w:pPr>
        <w:pStyle w:val="BodyTextIndent"/>
        <w:rPr>
          <w:kern w:val="0"/>
        </w:rPr>
      </w:pPr>
      <w:r>
        <w:rPr>
          <w:kern w:val="0"/>
        </w:rPr>
        <w:t>c</w:t>
      </w:r>
      <w:r w:rsidRPr="008A6CC9">
        <w:rPr>
          <w:kern w:val="0"/>
          <w:vertAlign w:val="subscript"/>
        </w:rPr>
        <w:t>p</w:t>
      </w:r>
      <w:r>
        <w:rPr>
          <w:kern w:val="0"/>
        </w:rPr>
        <w:tab/>
      </w:r>
      <w:r>
        <w:rPr>
          <w:kern w:val="0"/>
        </w:rPr>
        <w:tab/>
        <w:t>specific heat</w:t>
      </w:r>
    </w:p>
    <w:p w14:paraId="6CCD3184" w14:textId="77777777" w:rsidR="00D02522" w:rsidRPr="00D02522" w:rsidRDefault="00D02522" w:rsidP="004C64C5">
      <w:pPr>
        <w:pStyle w:val="BodyTextIndent"/>
        <w:ind w:firstLine="0"/>
      </w:pPr>
    </w:p>
    <w:p w14:paraId="16F185A6" w14:textId="77777777" w:rsidR="008B61D2" w:rsidRPr="0012344E" w:rsidRDefault="008B61D2" w:rsidP="005E134D">
      <w:pPr>
        <w:pStyle w:val="NomenclatureClauseTitle"/>
        <w:numPr>
          <w:ilvl w:val="0"/>
          <w:numId w:val="3"/>
        </w:numPr>
        <w:spacing w:before="0"/>
        <w:ind w:left="360"/>
        <w:jc w:val="left"/>
      </w:pPr>
      <w:r w:rsidRPr="0012344E">
        <w:t>INTRODUCTION</w:t>
      </w:r>
    </w:p>
    <w:p w14:paraId="4AA0EBF9" w14:textId="7FCFA916" w:rsidR="008B61D2" w:rsidRPr="00127871" w:rsidRDefault="008B61D2">
      <w:pPr>
        <w:pStyle w:val="NomenclatureClauseTitle"/>
        <w:tabs>
          <w:tab w:val="left" w:pos="360"/>
        </w:tabs>
        <w:spacing w:before="0"/>
        <w:rPr>
          <w:rFonts w:ascii="Times New Roman" w:eastAsia="MS Mincho" w:hAnsi="Times New Roman"/>
          <w:b w:val="0"/>
          <w:bCs/>
          <w:caps w:val="0"/>
        </w:rPr>
      </w:pPr>
      <w:r w:rsidRPr="00940364">
        <w:rPr>
          <w:rFonts w:ascii="Times New Roman" w:eastAsia="MS Mincho" w:hAnsi="Times New Roman"/>
          <w:sz w:val="24"/>
          <w:szCs w:val="24"/>
        </w:rPr>
        <w:tab/>
      </w:r>
      <w:r w:rsidR="00FA3567" w:rsidRPr="00FA3567">
        <w:rPr>
          <w:rFonts w:ascii="Times New Roman" w:eastAsia="MS Mincho" w:hAnsi="Times New Roman"/>
          <w:b w:val="0"/>
          <w:bCs/>
          <w:caps w:val="0"/>
        </w:rPr>
        <w:t xml:space="preserve">Concentrating solar power (CSP) with thermal energy storage has the potential to increase the penetration of intermittent renewable generators on the electric grid by providing dispatchable renewable energy. However, current </w:t>
      </w:r>
      <w:r w:rsidR="00FA3567" w:rsidRPr="00FA3567">
        <w:rPr>
          <w:rFonts w:ascii="Times New Roman" w:eastAsia="MS Mincho" w:hAnsi="Times New Roman"/>
          <w:b w:val="0"/>
          <w:bCs/>
          <w:caps w:val="0"/>
        </w:rPr>
        <w:t>systems are limited by high capital cost and low thermal-to-electric conversion efficiency. A promising path to low-cost and dispatchable renewable energy is increasing the operating temperature of CSP plants through the use of alternative heat transfer fluids and coupling to a high-efficiency supercritical carbon dioxide (sCO</w:t>
      </w:r>
      <w:r w:rsidR="00FA3567" w:rsidRPr="00FA3567">
        <w:rPr>
          <w:rFonts w:ascii="Times New Roman" w:eastAsia="MS Mincho" w:hAnsi="Times New Roman"/>
          <w:b w:val="0"/>
          <w:bCs/>
          <w:caps w:val="0"/>
          <w:vertAlign w:val="subscript"/>
        </w:rPr>
        <w:t>2</w:t>
      </w:r>
      <w:r w:rsidR="00FA3567" w:rsidRPr="00FA3567">
        <w:rPr>
          <w:rFonts w:ascii="Times New Roman" w:eastAsia="MS Mincho" w:hAnsi="Times New Roman"/>
          <w:b w:val="0"/>
          <w:bCs/>
          <w:caps w:val="0"/>
        </w:rPr>
        <w:t xml:space="preserve">) power </w:t>
      </w:r>
      <w:r w:rsidR="00FA3567" w:rsidRPr="00127871">
        <w:rPr>
          <w:rFonts w:ascii="Times New Roman" w:eastAsia="MS Mincho" w:hAnsi="Times New Roman"/>
          <w:b w:val="0"/>
          <w:bCs/>
          <w:caps w:val="0"/>
        </w:rPr>
        <w:t>cycle</w:t>
      </w:r>
      <w:r w:rsidR="00BD6416" w:rsidRPr="00127871">
        <w:rPr>
          <w:rFonts w:ascii="Times New Roman" w:eastAsia="MS Mincho" w:hAnsi="Times New Roman"/>
          <w:b w:val="0"/>
          <w:bCs/>
          <w:caps w:val="0"/>
        </w:rPr>
        <w:t xml:space="preserve"> </w:t>
      </w:r>
      <w:sdt>
        <w:sdtPr>
          <w:rPr>
            <w:rFonts w:ascii="Times New Roman" w:eastAsia="MS Mincho" w:hAnsi="Times New Roman"/>
            <w:b w:val="0"/>
            <w:bCs/>
            <w:caps w:val="0"/>
          </w:rPr>
          <w:id w:val="-898126075"/>
          <w:citation/>
        </w:sdtPr>
        <w:sdtEndPr/>
        <w:sdtContent>
          <w:r w:rsidR="00BD6416" w:rsidRPr="00127871">
            <w:rPr>
              <w:rFonts w:ascii="Times New Roman" w:eastAsia="MS Mincho" w:hAnsi="Times New Roman"/>
              <w:b w:val="0"/>
              <w:bCs/>
              <w:caps w:val="0"/>
            </w:rPr>
            <w:fldChar w:fldCharType="begin"/>
          </w:r>
          <w:r w:rsidR="00BD6416" w:rsidRPr="00127871">
            <w:rPr>
              <w:rFonts w:ascii="Times New Roman" w:eastAsia="MS Mincho" w:hAnsi="Times New Roman"/>
              <w:b w:val="0"/>
              <w:bCs/>
              <w:caps w:val="0"/>
            </w:rPr>
            <w:instrText xml:space="preserve"> CITATION Meh17 \l 1033 </w:instrText>
          </w:r>
          <w:r w:rsidR="00482323" w:rsidRPr="00127871">
            <w:rPr>
              <w:rFonts w:ascii="Times New Roman" w:eastAsia="MS Mincho" w:hAnsi="Times New Roman"/>
              <w:b w:val="0"/>
              <w:bCs/>
              <w:caps w:val="0"/>
            </w:rPr>
            <w:instrText xml:space="preserve"> \m Alb193</w:instrText>
          </w:r>
          <w:r w:rsidR="00BD6416" w:rsidRPr="00127871">
            <w:rPr>
              <w:rFonts w:ascii="Times New Roman" w:eastAsia="MS Mincho" w:hAnsi="Times New Roman"/>
              <w:b w:val="0"/>
              <w:bCs/>
              <w:caps w:val="0"/>
            </w:rPr>
            <w:fldChar w:fldCharType="separate"/>
          </w:r>
          <w:r w:rsidR="00482323" w:rsidRPr="00127871">
            <w:rPr>
              <w:rFonts w:ascii="Times New Roman" w:eastAsia="MS Mincho" w:hAnsi="Times New Roman"/>
              <w:b w:val="0"/>
              <w:bCs/>
              <w:noProof/>
            </w:rPr>
            <w:t>[1, 2]</w:t>
          </w:r>
          <w:r w:rsidR="00BD6416" w:rsidRPr="00127871">
            <w:rPr>
              <w:rFonts w:ascii="Times New Roman" w:eastAsia="MS Mincho" w:hAnsi="Times New Roman"/>
              <w:b w:val="0"/>
              <w:bCs/>
              <w:caps w:val="0"/>
            </w:rPr>
            <w:fldChar w:fldCharType="end"/>
          </w:r>
        </w:sdtContent>
      </w:sdt>
      <w:r w:rsidR="00FA3567" w:rsidRPr="00127871">
        <w:rPr>
          <w:rFonts w:ascii="Times New Roman" w:eastAsia="MS Mincho" w:hAnsi="Times New Roman"/>
          <w:b w:val="0"/>
          <w:bCs/>
          <w:caps w:val="0"/>
        </w:rPr>
        <w:t>. In order</w:t>
      </w:r>
      <w:r w:rsidR="00FA3567" w:rsidRPr="00FA3567">
        <w:rPr>
          <w:rFonts w:ascii="Times New Roman" w:eastAsia="MS Mincho" w:hAnsi="Times New Roman"/>
          <w:b w:val="0"/>
          <w:bCs/>
          <w:caps w:val="0"/>
        </w:rPr>
        <w:t xml:space="preserve"> to meet the capital cost requirements for particle CSP, a particle-to-sCO</w:t>
      </w:r>
      <w:r w:rsidR="00FA3567" w:rsidRPr="00FA3567">
        <w:rPr>
          <w:rFonts w:ascii="Times New Roman" w:eastAsia="MS Mincho" w:hAnsi="Times New Roman"/>
          <w:b w:val="0"/>
          <w:bCs/>
          <w:caps w:val="0"/>
          <w:vertAlign w:val="subscript"/>
        </w:rPr>
        <w:t>2</w:t>
      </w:r>
      <w:r w:rsidR="00FA3567" w:rsidRPr="00FA3567">
        <w:rPr>
          <w:rFonts w:ascii="Times New Roman" w:eastAsia="MS Mincho" w:hAnsi="Times New Roman"/>
          <w:b w:val="0"/>
          <w:bCs/>
          <w:caps w:val="0"/>
        </w:rPr>
        <w:t xml:space="preserve"> heat exchanger is required which effectively transfers thermal energy at low cost. Thus, experimental data for high performance particle-to-sCO</w:t>
      </w:r>
      <w:r w:rsidR="00FA3567" w:rsidRPr="00FA3567">
        <w:rPr>
          <w:rFonts w:ascii="Times New Roman" w:eastAsia="MS Mincho" w:hAnsi="Times New Roman"/>
          <w:b w:val="0"/>
          <w:bCs/>
          <w:caps w:val="0"/>
          <w:vertAlign w:val="subscript"/>
        </w:rPr>
        <w:t>2</w:t>
      </w:r>
      <w:r w:rsidR="00FA3567" w:rsidRPr="00FA3567">
        <w:rPr>
          <w:rFonts w:ascii="Times New Roman" w:eastAsia="MS Mincho" w:hAnsi="Times New Roman"/>
          <w:b w:val="0"/>
          <w:bCs/>
          <w:caps w:val="0"/>
        </w:rPr>
        <w:t xml:space="preserve"> heat exchangers implementing cost effective </w:t>
      </w:r>
      <w:r w:rsidR="00FA3567" w:rsidRPr="00127871">
        <w:rPr>
          <w:rFonts w:ascii="Times New Roman" w:eastAsia="MS Mincho" w:hAnsi="Times New Roman"/>
          <w:b w:val="0"/>
          <w:bCs/>
          <w:caps w:val="0"/>
        </w:rPr>
        <w:t xml:space="preserve">manufacturing techniques is required to </w:t>
      </w:r>
      <w:proofErr w:type="spellStart"/>
      <w:r w:rsidR="00FA3567" w:rsidRPr="00127871">
        <w:rPr>
          <w:rFonts w:ascii="Times New Roman" w:eastAsia="MS Mincho" w:hAnsi="Times New Roman"/>
          <w:b w:val="0"/>
          <w:bCs/>
          <w:caps w:val="0"/>
        </w:rPr>
        <w:t>derisk</w:t>
      </w:r>
      <w:proofErr w:type="spellEnd"/>
      <w:r w:rsidR="00FA3567" w:rsidRPr="00127871">
        <w:rPr>
          <w:rFonts w:ascii="Times New Roman" w:eastAsia="MS Mincho" w:hAnsi="Times New Roman"/>
          <w:b w:val="0"/>
          <w:bCs/>
          <w:caps w:val="0"/>
        </w:rPr>
        <w:t xml:space="preserve"> the technology</w:t>
      </w:r>
      <w:r w:rsidR="00BD6416" w:rsidRPr="00127871">
        <w:rPr>
          <w:rFonts w:ascii="Times New Roman" w:eastAsia="MS Mincho" w:hAnsi="Times New Roman"/>
          <w:b w:val="0"/>
          <w:bCs/>
          <w:caps w:val="0"/>
        </w:rPr>
        <w:t xml:space="preserve"> </w:t>
      </w:r>
      <w:sdt>
        <w:sdtPr>
          <w:rPr>
            <w:rFonts w:ascii="Times New Roman" w:eastAsia="MS Mincho" w:hAnsi="Times New Roman"/>
            <w:b w:val="0"/>
            <w:bCs/>
            <w:caps w:val="0"/>
          </w:rPr>
          <w:id w:val="1366175905"/>
          <w:citation/>
        </w:sdtPr>
        <w:sdtEndPr/>
        <w:sdtContent>
          <w:r w:rsidR="00BD6416" w:rsidRPr="00127871">
            <w:rPr>
              <w:rFonts w:ascii="Times New Roman" w:eastAsia="MS Mincho" w:hAnsi="Times New Roman"/>
              <w:b w:val="0"/>
              <w:bCs/>
              <w:caps w:val="0"/>
            </w:rPr>
            <w:fldChar w:fldCharType="begin"/>
          </w:r>
          <w:r w:rsidR="00BD6416" w:rsidRPr="00127871">
            <w:rPr>
              <w:rFonts w:ascii="Times New Roman" w:eastAsia="MS Mincho" w:hAnsi="Times New Roman"/>
              <w:b w:val="0"/>
              <w:bCs/>
              <w:caps w:val="0"/>
            </w:rPr>
            <w:instrText xml:space="preserve"> CITATION HoC18 \l 1033 </w:instrText>
          </w:r>
          <w:r w:rsidR="00BD6416" w:rsidRPr="00127871">
            <w:rPr>
              <w:rFonts w:ascii="Times New Roman" w:eastAsia="MS Mincho" w:hAnsi="Times New Roman"/>
              <w:b w:val="0"/>
              <w:bCs/>
              <w:caps w:val="0"/>
            </w:rPr>
            <w:fldChar w:fldCharType="separate"/>
          </w:r>
          <w:r w:rsidR="00482323" w:rsidRPr="00127871">
            <w:rPr>
              <w:rFonts w:ascii="Times New Roman" w:eastAsia="MS Mincho" w:hAnsi="Times New Roman"/>
              <w:b w:val="0"/>
              <w:bCs/>
              <w:noProof/>
            </w:rPr>
            <w:t>[3]</w:t>
          </w:r>
          <w:r w:rsidR="00BD6416" w:rsidRPr="00127871">
            <w:rPr>
              <w:rFonts w:ascii="Times New Roman" w:eastAsia="MS Mincho" w:hAnsi="Times New Roman"/>
              <w:b w:val="0"/>
              <w:bCs/>
              <w:caps w:val="0"/>
            </w:rPr>
            <w:fldChar w:fldCharType="end"/>
          </w:r>
        </w:sdtContent>
      </w:sdt>
      <w:r w:rsidR="00FA3567" w:rsidRPr="00127871">
        <w:rPr>
          <w:rFonts w:ascii="Times New Roman" w:eastAsia="MS Mincho" w:hAnsi="Times New Roman"/>
          <w:b w:val="0"/>
          <w:bCs/>
          <w:caps w:val="0"/>
        </w:rPr>
        <w:t>.</w:t>
      </w:r>
    </w:p>
    <w:p w14:paraId="1A8991EA" w14:textId="026F607C" w:rsidR="000552C1" w:rsidRDefault="00E663DD" w:rsidP="008A6CC9">
      <w:pPr>
        <w:pStyle w:val="BodyTextIndent"/>
        <w:tabs>
          <w:tab w:val="left" w:pos="360"/>
        </w:tabs>
        <w:ind w:firstLine="0"/>
      </w:pPr>
      <w:r>
        <w:tab/>
      </w:r>
      <w:r w:rsidR="001A2AC2">
        <w:t>The present effort focuses on producing such data by developing small</w:t>
      </w:r>
      <w:r w:rsidR="00A16620">
        <w:t>-</w:t>
      </w:r>
      <w:r w:rsidR="001A2AC2">
        <w:t>scale test loop</w:t>
      </w:r>
      <w:r w:rsidR="008A6CC9">
        <w:t>s</w:t>
      </w:r>
      <w:r w:rsidR="001A2AC2">
        <w:t xml:space="preserve"> for rapid evaluation of prototype heat exchanger designs</w:t>
      </w:r>
      <w:r w:rsidR="00482323">
        <w:t xml:space="preserve"> </w:t>
      </w:r>
      <w:sdt>
        <w:sdtPr>
          <w:id w:val="1103077248"/>
          <w:citation/>
        </w:sdtPr>
        <w:sdtEndPr/>
        <w:sdtContent>
          <w:r w:rsidR="00482323">
            <w:fldChar w:fldCharType="begin"/>
          </w:r>
          <w:r w:rsidR="00482323">
            <w:instrText xml:space="preserve"> CITATION Lau20 \l 1033 </w:instrText>
          </w:r>
          <w:r w:rsidR="00482323">
            <w:fldChar w:fldCharType="separate"/>
          </w:r>
          <w:r w:rsidR="00482323">
            <w:rPr>
              <w:noProof/>
            </w:rPr>
            <w:t>[4]</w:t>
          </w:r>
          <w:r w:rsidR="00482323">
            <w:fldChar w:fldCharType="end"/>
          </w:r>
        </w:sdtContent>
      </w:sdt>
      <w:r w:rsidR="001A2AC2">
        <w:t xml:space="preserve">. </w:t>
      </w:r>
      <w:r w:rsidR="00A16620">
        <w:t>The test loops consist of an isobaric sCO</w:t>
      </w:r>
      <w:r w:rsidR="00A16620" w:rsidRPr="00A16620">
        <w:rPr>
          <w:vertAlign w:val="subscript"/>
        </w:rPr>
        <w:t>2</w:t>
      </w:r>
      <w:r w:rsidR="00A16620">
        <w:t xml:space="preserve"> flow loop and electrically heated particle flow loop. </w:t>
      </w:r>
      <w:r w:rsidR="001A2AC2">
        <w:t>The operating conditions of the small</w:t>
      </w:r>
      <w:r w:rsidR="00A16620">
        <w:t>-</w:t>
      </w:r>
      <w:r w:rsidR="001A2AC2">
        <w:t>scale</w:t>
      </w:r>
      <w:r w:rsidR="00A16620">
        <w:t xml:space="preserve"> test loops have been established to keep equipment costs as low as possible while still allowing for informative experiments to be conducted. The following sections detail the</w:t>
      </w:r>
      <w:r w:rsidR="008A6CC9">
        <w:t xml:space="preserve"> heat exchanger test facility and a prototype unit based on the design being considered for the G3P3 system </w:t>
      </w:r>
      <w:sdt>
        <w:sdtPr>
          <w:id w:val="776596092"/>
          <w:citation/>
        </w:sdtPr>
        <w:sdtEndPr/>
        <w:sdtContent>
          <w:r w:rsidR="00A36DC3">
            <w:fldChar w:fldCharType="begin"/>
          </w:r>
          <w:r w:rsidR="00A36DC3">
            <w:instrText xml:space="preserve"> CITATION HoC19 \l 1033 </w:instrText>
          </w:r>
          <w:r w:rsidR="00A36DC3">
            <w:fldChar w:fldCharType="separate"/>
          </w:r>
          <w:r w:rsidR="00482323">
            <w:rPr>
              <w:noProof/>
            </w:rPr>
            <w:t>[5]</w:t>
          </w:r>
          <w:r w:rsidR="00A36DC3">
            <w:fldChar w:fldCharType="end"/>
          </w:r>
        </w:sdtContent>
      </w:sdt>
      <w:r w:rsidR="008A6CC9">
        <w:t>.</w:t>
      </w:r>
    </w:p>
    <w:p w14:paraId="67E3D6D8" w14:textId="77777777" w:rsidR="00DD731F" w:rsidRPr="008A6CC9" w:rsidRDefault="00DD731F" w:rsidP="008A6CC9">
      <w:pPr>
        <w:pStyle w:val="BodyTextIndent"/>
        <w:tabs>
          <w:tab w:val="left" w:pos="360"/>
        </w:tabs>
        <w:ind w:firstLine="0"/>
      </w:pPr>
    </w:p>
    <w:p w14:paraId="7BE7F48C" w14:textId="65916163" w:rsidR="0023171F" w:rsidRDefault="0023171F" w:rsidP="005E134D">
      <w:pPr>
        <w:pStyle w:val="BodyTextIndent"/>
        <w:numPr>
          <w:ilvl w:val="0"/>
          <w:numId w:val="3"/>
        </w:numPr>
        <w:ind w:left="360"/>
        <w:rPr>
          <w:rFonts w:ascii="Arial" w:hAnsi="Arial" w:cs="Arial"/>
          <w:b/>
          <w:kern w:val="0"/>
        </w:rPr>
      </w:pPr>
      <w:r>
        <w:rPr>
          <w:rFonts w:ascii="Arial" w:hAnsi="Arial" w:cs="Arial"/>
          <w:b/>
          <w:kern w:val="0"/>
        </w:rPr>
        <w:t>DEVELOPMENT OF A HEAT EXCHANGER TEST BED</w:t>
      </w:r>
    </w:p>
    <w:p w14:paraId="15521172" w14:textId="73C9E1FA" w:rsidR="00E663DD" w:rsidRDefault="003D793F" w:rsidP="003D793F">
      <w:pPr>
        <w:pStyle w:val="BodyTextIndent"/>
        <w:tabs>
          <w:tab w:val="left" w:pos="360"/>
        </w:tabs>
        <w:ind w:firstLine="0"/>
      </w:pPr>
      <w:r>
        <w:tab/>
        <w:t xml:space="preserve">In order to evaluate the steady-state performance of </w:t>
      </w:r>
      <w:r w:rsidR="00F47206">
        <w:t xml:space="preserve">a </w:t>
      </w:r>
      <w:r>
        <w:t>prototype heat exchanger</w:t>
      </w:r>
      <w:r w:rsidR="002F53C7">
        <w:t>,</w:t>
      </w:r>
      <w:r>
        <w:t xml:space="preserve"> a system that is capable of recirculating both particle and sCO</w:t>
      </w:r>
      <w:r w:rsidRPr="003D793F">
        <w:rPr>
          <w:vertAlign w:val="subscript"/>
        </w:rPr>
        <w:t>2</w:t>
      </w:r>
      <w:r>
        <w:t xml:space="preserve"> flows while holding inlet temperatures and flow rates constant for extended periods of time is required. Commonly, particle heat transfer measurements are made using batch mode test which are notoriously unreliable due to the inherent transient nature of the experiment. In addition, it is common for experiments to be conducted without a representative working fluid</w:t>
      </w:r>
      <w:r w:rsidR="00BD6416">
        <w:t xml:space="preserve"> </w:t>
      </w:r>
      <w:sdt>
        <w:sdtPr>
          <w:id w:val="1372271360"/>
          <w:citation/>
        </w:sdtPr>
        <w:sdtEndPr/>
        <w:sdtContent>
          <w:r w:rsidR="00BD6416">
            <w:fldChar w:fldCharType="begin"/>
          </w:r>
          <w:r w:rsidR="00BD6416">
            <w:instrText xml:space="preserve"> CITATION AlA12 \l 1033  \m Bau15</w:instrText>
          </w:r>
          <w:r w:rsidR="00BD6416">
            <w:fldChar w:fldCharType="separate"/>
          </w:r>
          <w:r w:rsidR="00482323">
            <w:rPr>
              <w:noProof/>
            </w:rPr>
            <w:t>[6, 7]</w:t>
          </w:r>
          <w:r w:rsidR="00BD6416">
            <w:fldChar w:fldCharType="end"/>
          </w:r>
        </w:sdtContent>
      </w:sdt>
      <w:r>
        <w:t xml:space="preserve"> or no fluid at all. The development of the test facility described in this section seeks to alleviate these issues through constructing a heat exchanger test facility where the particle and sCO</w:t>
      </w:r>
      <w:r w:rsidRPr="003D793F">
        <w:rPr>
          <w:vertAlign w:val="subscript"/>
        </w:rPr>
        <w:t>2</w:t>
      </w:r>
      <w:r>
        <w:t xml:space="preserve"> flows can be circulated </w:t>
      </w:r>
      <w:r>
        <w:lastRenderedPageBreak/>
        <w:t>indefinitely and achieve true steady-state operating conditions by maintaining accurate control over the heat exchanger inlet temperatures.</w:t>
      </w:r>
    </w:p>
    <w:p w14:paraId="401D39F5" w14:textId="2381AD3B" w:rsidR="00DD731F" w:rsidRDefault="00086ACE" w:rsidP="00DD731F">
      <w:pPr>
        <w:pStyle w:val="BodyTextIndent"/>
        <w:tabs>
          <w:tab w:val="left" w:pos="360"/>
        </w:tabs>
        <w:ind w:firstLine="0"/>
      </w:pPr>
      <w:r>
        <w:tab/>
        <w:t>The piping and instrumentation diagram of the heat exchanger test facility is provid</w:t>
      </w:r>
      <w:r w:rsidRPr="00086ACE">
        <w:t xml:space="preserve">ed in </w:t>
      </w:r>
      <w:r w:rsidRPr="00086ACE">
        <w:fldChar w:fldCharType="begin"/>
      </w:r>
      <w:r w:rsidRPr="00086ACE">
        <w:instrText xml:space="preserve"> REF _Ref61203820 \h  \* MERGEFORMAT </w:instrText>
      </w:r>
      <w:r w:rsidRPr="00086ACE">
        <w:fldChar w:fldCharType="separate"/>
      </w:r>
      <w:r w:rsidR="009F5293" w:rsidRPr="009F5293">
        <w:t xml:space="preserve">Figure </w:t>
      </w:r>
      <w:r w:rsidR="009F5293" w:rsidRPr="009F5293">
        <w:rPr>
          <w:noProof/>
        </w:rPr>
        <w:t>1</w:t>
      </w:r>
      <w:r w:rsidRPr="00086ACE">
        <w:fldChar w:fldCharType="end"/>
      </w:r>
      <w:r w:rsidRPr="00086ACE">
        <w:t>.</w:t>
      </w:r>
      <w:r w:rsidR="002F53C7">
        <w:t xml:space="preserve"> As previously discussed, the system consists of two integrated loops for the particle and sCO</w:t>
      </w:r>
      <w:r w:rsidR="002F53C7" w:rsidRPr="002F53C7">
        <w:rPr>
          <w:vertAlign w:val="subscript"/>
        </w:rPr>
        <w:t>2</w:t>
      </w:r>
      <w:r w:rsidR="002F53C7">
        <w:t xml:space="preserve"> heat transfer media. The sCO</w:t>
      </w:r>
      <w:r w:rsidR="002F53C7" w:rsidRPr="002F53C7">
        <w:rPr>
          <w:vertAlign w:val="subscript"/>
        </w:rPr>
        <w:t>2</w:t>
      </w:r>
      <w:r w:rsidR="002F53C7">
        <w:t xml:space="preserve"> flow loop is based on the configuration presented by Carlson et al.</w:t>
      </w:r>
      <w:r w:rsidR="00A36DC3">
        <w:t xml:space="preserve"> </w:t>
      </w:r>
      <w:sdt>
        <w:sdtPr>
          <w:id w:val="422075494"/>
          <w:citation/>
        </w:sdtPr>
        <w:sdtEndPr/>
        <w:sdtContent>
          <w:r w:rsidR="00A36DC3">
            <w:fldChar w:fldCharType="begin"/>
          </w:r>
          <w:r w:rsidR="00A36DC3">
            <w:instrText xml:space="preserve"> CITATION Car16 \l 1033 </w:instrText>
          </w:r>
          <w:r w:rsidR="00A36DC3">
            <w:fldChar w:fldCharType="separate"/>
          </w:r>
          <w:r w:rsidR="00482323">
            <w:rPr>
              <w:noProof/>
            </w:rPr>
            <w:t>[8]</w:t>
          </w:r>
          <w:r w:rsidR="00A36DC3">
            <w:fldChar w:fldCharType="end"/>
          </w:r>
        </w:sdtContent>
      </w:sdt>
      <w:r w:rsidR="002F53C7">
        <w:t xml:space="preserve"> and used in prior testing of prototype heat exchangers</w:t>
      </w:r>
      <w:r w:rsidR="00A36DC3">
        <w:t xml:space="preserve"> </w:t>
      </w:r>
      <w:sdt>
        <w:sdtPr>
          <w:id w:val="-783269731"/>
          <w:citation/>
        </w:sdtPr>
        <w:sdtEndPr/>
        <w:sdtContent>
          <w:r w:rsidR="00A36DC3">
            <w:fldChar w:fldCharType="begin"/>
          </w:r>
          <w:r w:rsidR="00A36DC3">
            <w:instrText xml:space="preserve"> CITATION Alb192 \l 1033 </w:instrText>
          </w:r>
          <w:r w:rsidR="00A36DC3">
            <w:fldChar w:fldCharType="separate"/>
          </w:r>
          <w:r w:rsidR="00482323">
            <w:rPr>
              <w:noProof/>
            </w:rPr>
            <w:t>[9]</w:t>
          </w:r>
          <w:r w:rsidR="00A36DC3">
            <w:fldChar w:fldCharType="end"/>
          </w:r>
        </w:sdtContent>
      </w:sdt>
      <w:r w:rsidR="002F53C7">
        <w:t xml:space="preserve"> with only minor changes based on lessons learned. The sCO</w:t>
      </w:r>
      <w:r w:rsidR="002F53C7" w:rsidRPr="002F53C7">
        <w:rPr>
          <w:vertAlign w:val="subscript"/>
        </w:rPr>
        <w:t>2</w:t>
      </w:r>
      <w:r w:rsidR="002F53C7">
        <w:t xml:space="preserve"> flow loop is isobaric and implements a dense phase pump on the cold side of the system for fluid circulation. The cold and hot side of the system are separated through a recuperator which heats the sCO</w:t>
      </w:r>
      <w:r w:rsidR="002F53C7" w:rsidRPr="002F53C7">
        <w:rPr>
          <w:vertAlign w:val="subscript"/>
        </w:rPr>
        <w:t>2</w:t>
      </w:r>
      <w:r w:rsidR="002F53C7">
        <w:t xml:space="preserve"> flow leaving the pump and cools the sCO</w:t>
      </w:r>
      <w:r w:rsidR="002F53C7" w:rsidRPr="002F53C7">
        <w:rPr>
          <w:vertAlign w:val="subscript"/>
        </w:rPr>
        <w:t>2</w:t>
      </w:r>
      <w:r w:rsidR="002F53C7">
        <w:t xml:space="preserve"> leaving the heat exchanger. A bypass line</w:t>
      </w:r>
      <w:r w:rsidR="00A5448B">
        <w:t xml:space="preserve"> around the recuperator</w:t>
      </w:r>
      <w:r w:rsidR="002F53C7">
        <w:t xml:space="preserve"> and heat trace on the </w:t>
      </w:r>
      <w:r w:rsidR="00A5448B">
        <w:t>s</w:t>
      </w:r>
      <w:r w:rsidR="002F53C7">
        <w:t>CO</w:t>
      </w:r>
      <w:r w:rsidR="002F53C7" w:rsidRPr="002F53C7">
        <w:rPr>
          <w:vertAlign w:val="subscript"/>
        </w:rPr>
        <w:t>2</w:t>
      </w:r>
      <w:r w:rsidR="002F53C7">
        <w:t xml:space="preserve"> </w:t>
      </w:r>
      <w:r w:rsidR="00A5448B">
        <w:t xml:space="preserve">heat exchanger </w:t>
      </w:r>
      <w:r w:rsidR="002F53C7">
        <w:t xml:space="preserve">inlet and outlet connections allow for </w:t>
      </w:r>
      <w:r w:rsidR="00A5448B">
        <w:t xml:space="preserve">full </w:t>
      </w:r>
      <w:r w:rsidR="002F53C7">
        <w:t>control over the temperature of the sCO</w:t>
      </w:r>
      <w:r w:rsidR="002F53C7" w:rsidRPr="002F53C7">
        <w:rPr>
          <w:vertAlign w:val="subscript"/>
        </w:rPr>
        <w:t>2</w:t>
      </w:r>
      <w:r w:rsidR="002F53C7">
        <w:t xml:space="preserve"> at the heat exchanger inlet. </w:t>
      </w:r>
      <w:r w:rsidR="00A5448B">
        <w:t>Heat rejection from the sCO</w:t>
      </w:r>
      <w:r w:rsidR="00A5448B" w:rsidRPr="00A5448B">
        <w:rPr>
          <w:vertAlign w:val="subscript"/>
        </w:rPr>
        <w:t>2</w:t>
      </w:r>
      <w:r w:rsidR="00A5448B">
        <w:t xml:space="preserve"> is accomplish</w:t>
      </w:r>
      <w:r w:rsidR="00EC4A48">
        <w:t>ed</w:t>
      </w:r>
      <w:r w:rsidR="00A5448B">
        <w:t xml:space="preserve"> using water-cooled heat exchanger on both the main sCO</w:t>
      </w:r>
      <w:r w:rsidR="00A5448B" w:rsidRPr="00A5448B">
        <w:rPr>
          <w:vertAlign w:val="subscript"/>
        </w:rPr>
        <w:t>2</w:t>
      </w:r>
      <w:r w:rsidR="00A5448B">
        <w:t xml:space="preserve"> flow </w:t>
      </w:r>
      <w:r w:rsidR="00A5448B">
        <w:t>after passing through the recuperator and pump recirculation lines. However, the pump recirculation line temperature is maintained using a chiller since temperatures below ambient are occasionally required to maintain sCO</w:t>
      </w:r>
      <w:r w:rsidR="00A5448B" w:rsidRPr="00A5448B">
        <w:rPr>
          <w:vertAlign w:val="subscript"/>
        </w:rPr>
        <w:t>2</w:t>
      </w:r>
      <w:r w:rsidR="00A5448B">
        <w:t xml:space="preserve"> density at an acceptable value (&gt;850 kg/m</w:t>
      </w:r>
      <w:r w:rsidR="00A5448B" w:rsidRPr="00A5448B">
        <w:rPr>
          <w:vertAlign w:val="superscript"/>
        </w:rPr>
        <w:t>3</w:t>
      </w:r>
      <w:r w:rsidR="00A5448B">
        <w:t>). Control of the sCO</w:t>
      </w:r>
      <w:r w:rsidR="00A5448B" w:rsidRPr="005B78B7">
        <w:rPr>
          <w:vertAlign w:val="subscript"/>
        </w:rPr>
        <w:t>2</w:t>
      </w:r>
      <w:r w:rsidR="00A5448B">
        <w:t xml:space="preserve"> flow is accomplished through a combination of a variable frequency drive on the pump and throttle valve. The </w:t>
      </w:r>
      <w:r w:rsidR="005B78B7">
        <w:t>sCO</w:t>
      </w:r>
      <w:r w:rsidR="005B78B7" w:rsidRPr="005B78B7">
        <w:rPr>
          <w:vertAlign w:val="subscript"/>
        </w:rPr>
        <w:t>2</w:t>
      </w:r>
      <w:r w:rsidR="005B78B7">
        <w:t xml:space="preserve"> flow loop layout meets the requirements of indefinite operation with complete control over sCO</w:t>
      </w:r>
      <w:r w:rsidR="005B78B7" w:rsidRPr="00DD731F">
        <w:rPr>
          <w:vertAlign w:val="subscript"/>
        </w:rPr>
        <w:t>2</w:t>
      </w:r>
      <w:r w:rsidR="005B78B7">
        <w:t xml:space="preserve"> inlet temperature and flow rate</w:t>
      </w:r>
      <w:r w:rsidR="00DD731F">
        <w:t>.</w:t>
      </w:r>
    </w:p>
    <w:p w14:paraId="7FE8A2EA" w14:textId="675DC115" w:rsidR="00DD731F" w:rsidRPr="00DD731F" w:rsidRDefault="00DD731F" w:rsidP="00DD731F">
      <w:pPr>
        <w:pStyle w:val="BodyTextIndent"/>
        <w:tabs>
          <w:tab w:val="left" w:pos="360"/>
        </w:tabs>
        <w:ind w:firstLine="0"/>
        <w:sectPr w:rsidR="00DD731F" w:rsidRPr="00DD731F" w:rsidSect="00A5037A">
          <w:type w:val="continuous"/>
          <w:pgSz w:w="12240" w:h="15840"/>
          <w:pgMar w:top="1440" w:right="720" w:bottom="1440" w:left="720" w:header="720" w:footer="720" w:gutter="0"/>
          <w:cols w:num="2" w:space="540" w:equalWidth="0">
            <w:col w:w="5130" w:space="540"/>
            <w:col w:w="5130"/>
          </w:cols>
        </w:sectPr>
      </w:pPr>
      <w:r>
        <w:tab/>
        <w:t>Although the layout of the sCO</w:t>
      </w:r>
      <w:r w:rsidRPr="005A5427">
        <w:rPr>
          <w:vertAlign w:val="subscript"/>
        </w:rPr>
        <w:t>2</w:t>
      </w:r>
      <w:r>
        <w:t xml:space="preserve"> flow loop is consistent with prior efforts, the method of construction differs due to trying to keep the cost of construction and testing prototype heat exchangers as low as possible.  Maximum operating temperature and </w:t>
      </w:r>
      <w:r w:rsidR="00EE44F4">
        <w:t>maximum allowable working pressure</w:t>
      </w:r>
      <w:r>
        <w:t xml:space="preserve"> were selected to be </w:t>
      </w:r>
      <w:r w:rsidR="005A5427">
        <w:t xml:space="preserve">500 °C and </w:t>
      </w:r>
      <w:r w:rsidR="00EE44F4">
        <w:t xml:space="preserve">20 </w:t>
      </w:r>
      <w:r w:rsidR="005A5427">
        <w:t>MPa based on the limitations of commonly available parts.</w:t>
      </w:r>
      <w:r w:rsidR="00EE44F4">
        <w:t xml:space="preserve"> At the selected operating conditions, the allowable stress for stainless steel can meet the design require</w:t>
      </w:r>
      <w:r w:rsidR="00EC4A48">
        <w:t>ment</w:t>
      </w:r>
      <w:r w:rsidR="00EE44F4">
        <w:t>s which helps to expedited manufacturing and reduce costs.</w:t>
      </w:r>
      <w:r>
        <w:t xml:space="preserve"> </w:t>
      </w:r>
    </w:p>
    <w:p w14:paraId="621E6401" w14:textId="19C3DAE6" w:rsidR="00431F04" w:rsidRDefault="00127871" w:rsidP="00431F04">
      <w:pPr>
        <w:pStyle w:val="Caption"/>
        <w:jc w:val="center"/>
        <w:rPr>
          <w:rFonts w:ascii="Arial" w:hAnsi="Arial" w:cs="Arial"/>
          <w:b/>
          <w:bCs/>
          <w:i w:val="0"/>
          <w:iCs w:val="0"/>
          <w:color w:val="auto"/>
          <w:sz w:val="20"/>
          <w:szCs w:val="20"/>
        </w:rPr>
      </w:pPr>
      <w:r>
        <w:rPr>
          <w:rFonts w:ascii="Arial" w:hAnsi="Arial" w:cs="Arial"/>
          <w:b/>
          <w:bCs/>
          <w:i w:val="0"/>
          <w:iCs w:val="0"/>
          <w:noProof/>
          <w:color w:val="auto"/>
          <w:sz w:val="20"/>
          <w:szCs w:val="20"/>
        </w:rPr>
        <w:drawing>
          <wp:inline distT="0" distB="0" distL="0" distR="0" wp14:anchorId="7D523A44" wp14:editId="5571336E">
            <wp:extent cx="6257743" cy="490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0889" cy="4907841"/>
                    </a:xfrm>
                    <a:prstGeom prst="rect">
                      <a:avLst/>
                    </a:prstGeom>
                    <a:noFill/>
                    <a:ln>
                      <a:noFill/>
                    </a:ln>
                  </pic:spPr>
                </pic:pic>
              </a:graphicData>
            </a:graphic>
          </wp:inline>
        </w:drawing>
      </w:r>
    </w:p>
    <w:p w14:paraId="26AEC6AF" w14:textId="45FAD4BF" w:rsidR="00431F04" w:rsidRDefault="00F96B79" w:rsidP="00F96B79">
      <w:pPr>
        <w:pStyle w:val="Caption"/>
        <w:rPr>
          <w:i w:val="0"/>
          <w:iCs w:val="0"/>
          <w:color w:val="auto"/>
        </w:rPr>
        <w:sectPr w:rsidR="00431F04" w:rsidSect="00431F04">
          <w:type w:val="continuous"/>
          <w:pgSz w:w="12240" w:h="15840"/>
          <w:pgMar w:top="1440" w:right="720" w:bottom="1440" w:left="720" w:header="720" w:footer="720" w:gutter="0"/>
          <w:cols w:space="540"/>
        </w:sectPr>
      </w:pPr>
      <w:bookmarkStart w:id="3" w:name="_Ref61203820"/>
      <w:r w:rsidRPr="0023171F">
        <w:rPr>
          <w:rFonts w:ascii="Arial" w:hAnsi="Arial" w:cs="Arial"/>
          <w:b/>
          <w:bCs/>
          <w:i w:val="0"/>
          <w:iCs w:val="0"/>
          <w:color w:val="auto"/>
          <w:sz w:val="20"/>
          <w:szCs w:val="20"/>
        </w:rPr>
        <w:t xml:space="preserve">Figure </w:t>
      </w:r>
      <w:r w:rsidRPr="0023171F">
        <w:rPr>
          <w:rFonts w:ascii="Arial" w:hAnsi="Arial" w:cs="Arial"/>
          <w:b/>
          <w:bCs/>
          <w:i w:val="0"/>
          <w:iCs w:val="0"/>
          <w:color w:val="auto"/>
          <w:sz w:val="20"/>
          <w:szCs w:val="20"/>
        </w:rPr>
        <w:fldChar w:fldCharType="begin"/>
      </w:r>
      <w:r w:rsidRPr="0023171F">
        <w:rPr>
          <w:rFonts w:ascii="Arial" w:hAnsi="Arial" w:cs="Arial"/>
          <w:b/>
          <w:bCs/>
          <w:i w:val="0"/>
          <w:iCs w:val="0"/>
          <w:color w:val="auto"/>
          <w:sz w:val="20"/>
          <w:szCs w:val="20"/>
        </w:rPr>
        <w:instrText xml:space="preserve"> SEQ Figure \* ARABIC </w:instrText>
      </w:r>
      <w:r w:rsidRPr="0023171F">
        <w:rPr>
          <w:rFonts w:ascii="Arial" w:hAnsi="Arial" w:cs="Arial"/>
          <w:b/>
          <w:bCs/>
          <w:i w:val="0"/>
          <w:iCs w:val="0"/>
          <w:color w:val="auto"/>
          <w:sz w:val="20"/>
          <w:szCs w:val="20"/>
        </w:rPr>
        <w:fldChar w:fldCharType="separate"/>
      </w:r>
      <w:r w:rsidR="009F5293">
        <w:rPr>
          <w:rFonts w:ascii="Arial" w:hAnsi="Arial" w:cs="Arial"/>
          <w:b/>
          <w:bCs/>
          <w:i w:val="0"/>
          <w:iCs w:val="0"/>
          <w:noProof/>
          <w:color w:val="auto"/>
          <w:sz w:val="20"/>
          <w:szCs w:val="20"/>
        </w:rPr>
        <w:t>1</w:t>
      </w:r>
      <w:r w:rsidRPr="0023171F">
        <w:rPr>
          <w:rFonts w:ascii="Arial" w:hAnsi="Arial" w:cs="Arial"/>
          <w:b/>
          <w:bCs/>
          <w:i w:val="0"/>
          <w:iCs w:val="0"/>
          <w:color w:val="auto"/>
          <w:sz w:val="20"/>
          <w:szCs w:val="20"/>
        </w:rPr>
        <w:fldChar w:fldCharType="end"/>
      </w:r>
      <w:bookmarkEnd w:id="3"/>
      <w:r w:rsidRPr="0023171F">
        <w:rPr>
          <w:rFonts w:ascii="Arial" w:hAnsi="Arial" w:cs="Arial"/>
          <w:b/>
          <w:bCs/>
          <w:i w:val="0"/>
          <w:iCs w:val="0"/>
          <w:color w:val="auto"/>
          <w:sz w:val="20"/>
          <w:szCs w:val="20"/>
        </w:rPr>
        <w:t>:</w:t>
      </w:r>
      <w:r w:rsidRPr="0023171F">
        <w:rPr>
          <w:i w:val="0"/>
          <w:iCs w:val="0"/>
          <w:color w:val="auto"/>
        </w:rPr>
        <w:t xml:space="preserve"> </w:t>
      </w:r>
      <w:r w:rsidR="008E24EC" w:rsidRPr="008E24EC">
        <w:rPr>
          <w:i w:val="0"/>
          <w:iCs w:val="0"/>
          <w:color w:val="auto"/>
        </w:rPr>
        <w:t>Piping and instrumentation diagram</w:t>
      </w:r>
      <w:r w:rsidR="0081483C">
        <w:rPr>
          <w:i w:val="0"/>
          <w:iCs w:val="0"/>
          <w:color w:val="auto"/>
        </w:rPr>
        <w:t xml:space="preserve"> (P&amp;ID)</w:t>
      </w:r>
      <w:r w:rsidR="008E24EC" w:rsidRPr="008E24EC">
        <w:rPr>
          <w:i w:val="0"/>
          <w:iCs w:val="0"/>
          <w:color w:val="auto"/>
        </w:rPr>
        <w:t xml:space="preserve"> of the </w:t>
      </w:r>
      <w:r w:rsidR="0081483C">
        <w:rPr>
          <w:i w:val="0"/>
          <w:iCs w:val="0"/>
          <w:color w:val="auto"/>
        </w:rPr>
        <w:t>integrated particle and sCO</w:t>
      </w:r>
      <w:r w:rsidR="0081483C" w:rsidRPr="00215C68">
        <w:rPr>
          <w:i w:val="0"/>
          <w:iCs w:val="0"/>
          <w:color w:val="auto"/>
          <w:vertAlign w:val="subscript"/>
        </w:rPr>
        <w:t>2</w:t>
      </w:r>
      <w:r w:rsidR="0081483C">
        <w:rPr>
          <w:i w:val="0"/>
          <w:iCs w:val="0"/>
          <w:color w:val="auto"/>
        </w:rPr>
        <w:t xml:space="preserve"> flow loops for testing a </w:t>
      </w:r>
      <w:r w:rsidR="008E24EC" w:rsidRPr="008E24EC">
        <w:rPr>
          <w:i w:val="0"/>
          <w:iCs w:val="0"/>
          <w:color w:val="auto"/>
        </w:rPr>
        <w:t>20-kW</w:t>
      </w:r>
      <w:r w:rsidR="008E24EC" w:rsidRPr="0081483C">
        <w:rPr>
          <w:i w:val="0"/>
          <w:iCs w:val="0"/>
          <w:color w:val="auto"/>
          <w:vertAlign w:val="subscript"/>
        </w:rPr>
        <w:t>t</w:t>
      </w:r>
      <w:r w:rsidR="008E24EC" w:rsidRPr="008E24EC">
        <w:rPr>
          <w:i w:val="0"/>
          <w:iCs w:val="0"/>
          <w:color w:val="auto"/>
        </w:rPr>
        <w:t xml:space="preserve"> </w:t>
      </w:r>
      <w:r w:rsidR="0081483C">
        <w:rPr>
          <w:i w:val="0"/>
          <w:iCs w:val="0"/>
          <w:color w:val="auto"/>
        </w:rPr>
        <w:t xml:space="preserve">prototype </w:t>
      </w:r>
      <w:r w:rsidR="008E24EC" w:rsidRPr="008E24EC">
        <w:rPr>
          <w:i w:val="0"/>
          <w:iCs w:val="0"/>
          <w:color w:val="auto"/>
        </w:rPr>
        <w:t>particle-to-sCO</w:t>
      </w:r>
      <w:r w:rsidR="008E24EC" w:rsidRPr="00E154A0">
        <w:rPr>
          <w:i w:val="0"/>
          <w:iCs w:val="0"/>
          <w:color w:val="auto"/>
          <w:vertAlign w:val="subscript"/>
        </w:rPr>
        <w:t>2</w:t>
      </w:r>
      <w:r w:rsidR="008E24EC" w:rsidRPr="008E24EC">
        <w:rPr>
          <w:i w:val="0"/>
          <w:iCs w:val="0"/>
          <w:color w:val="auto"/>
        </w:rPr>
        <w:t xml:space="preserve"> heat exchanger</w:t>
      </w:r>
    </w:p>
    <w:p w14:paraId="5BAA36B2" w14:textId="77A23A5D" w:rsidR="00086ACE" w:rsidRDefault="00EE44F4" w:rsidP="00EE44F4">
      <w:pPr>
        <w:pStyle w:val="BodyTextIndent"/>
        <w:tabs>
          <w:tab w:val="left" w:pos="360"/>
        </w:tabs>
        <w:ind w:firstLine="0"/>
        <w:rPr>
          <w:i/>
          <w:iCs/>
        </w:rPr>
      </w:pPr>
      <w:r>
        <w:lastRenderedPageBreak/>
        <w:tab/>
      </w:r>
      <w:r w:rsidR="00215C68" w:rsidRPr="000258AC">
        <w:t xml:space="preserve">An illustration of </w:t>
      </w:r>
      <w:r w:rsidR="00215C68" w:rsidRPr="00EA4B55">
        <w:t xml:space="preserve">the </w:t>
      </w:r>
      <w:r w:rsidR="005B78B7" w:rsidRPr="00EA4B55">
        <w:t xml:space="preserve">geometric arrangement of the </w:t>
      </w:r>
      <w:r w:rsidR="00215C68" w:rsidRPr="00EA4B55">
        <w:t>particle/sCO</w:t>
      </w:r>
      <w:r w:rsidR="00215C68" w:rsidRPr="007919F7">
        <w:rPr>
          <w:vertAlign w:val="subscript"/>
        </w:rPr>
        <w:t>2</w:t>
      </w:r>
      <w:r w:rsidR="00215C68" w:rsidRPr="005F43D8">
        <w:t xml:space="preserve"> heat exchanger test facility is provided in </w:t>
      </w:r>
      <w:r w:rsidR="005F43D8" w:rsidRPr="005F43D8">
        <w:fldChar w:fldCharType="begin"/>
      </w:r>
      <w:r w:rsidR="005F43D8" w:rsidRPr="005F43D8">
        <w:instrText xml:space="preserve"> REF _Ref61204315 \h  \* MERGEFORMAT </w:instrText>
      </w:r>
      <w:r w:rsidR="005F43D8" w:rsidRPr="005F43D8">
        <w:fldChar w:fldCharType="separate"/>
      </w:r>
      <w:r w:rsidR="009F5293" w:rsidRPr="009F5293">
        <w:t xml:space="preserve">Figure </w:t>
      </w:r>
      <w:r w:rsidR="009F5293" w:rsidRPr="009F5293">
        <w:rPr>
          <w:noProof/>
        </w:rPr>
        <w:t>2</w:t>
      </w:r>
      <w:r w:rsidR="005F43D8" w:rsidRPr="005F43D8">
        <w:fldChar w:fldCharType="end"/>
      </w:r>
      <w:r w:rsidR="00215C68" w:rsidRPr="000258AC">
        <w:t xml:space="preserve">. The particle flow loop uses a vertically integrated design with gravity driven flow, which allows for the particle flow rate through the entire system to be governed using one control valve at the outlet of the heat </w:t>
      </w:r>
      <w:r w:rsidR="00215C68" w:rsidRPr="00EA4B55">
        <w:t xml:space="preserve">exchanger. </w:t>
      </w:r>
      <w:r w:rsidR="005B78B7" w:rsidRPr="00EA4B55">
        <w:t xml:space="preserve">Circulation of the particle flow through the system is provided using a </w:t>
      </w:r>
      <w:r w:rsidR="00215C68" w:rsidRPr="00EA4B55">
        <w:t>custom high-temperature screw auger constructed from stainless steel using standard pipe sections</w:t>
      </w:r>
      <w:r w:rsidR="00EF0A48" w:rsidRPr="00EA4B55">
        <w:t xml:space="preserve"> and off-the-shelf components</w:t>
      </w:r>
      <w:r w:rsidR="00215C68" w:rsidRPr="00EA4B55">
        <w:t>. The electrical heater is designed using commonly available cartridge heaters and custom formed hoppers to</w:t>
      </w:r>
      <w:r w:rsidR="00215C68" w:rsidRPr="000258AC">
        <w:t xml:space="preserve"> create a staggered tube array for heating the particle flow. Mass flow measurements are made gravimetrically using an inline weigh hopper that is continuously charged and discharged during operation. The system layout was designed based on many lessons-learned from system integration and instrumentation in the prior 100 kW SuNLaMP testing. Many of the same design features (inline weigh hopper, thermal equilibration length, redundant instrumentation) have also been included in the 1 </w:t>
      </w:r>
      <w:proofErr w:type="spellStart"/>
      <w:r w:rsidR="00215C68" w:rsidRPr="000258AC">
        <w:t>MW</w:t>
      </w:r>
      <w:r w:rsidR="00215C68" w:rsidRPr="00054262">
        <w:rPr>
          <w:vertAlign w:val="subscript"/>
        </w:rPr>
        <w:t>t</w:t>
      </w:r>
      <w:proofErr w:type="spellEnd"/>
      <w:r w:rsidR="00215C68" w:rsidRPr="000258AC">
        <w:t xml:space="preserve"> G3P3 heat exchanger subsystem.</w:t>
      </w:r>
    </w:p>
    <w:p w14:paraId="5F78CC80" w14:textId="1D11EF18" w:rsidR="00086ACE" w:rsidRDefault="00EE44F4" w:rsidP="00EE44F4">
      <w:pPr>
        <w:pStyle w:val="BodyTextIndent"/>
        <w:tabs>
          <w:tab w:val="left" w:pos="360"/>
        </w:tabs>
        <w:ind w:firstLine="0"/>
        <w:rPr>
          <w:i/>
          <w:iCs/>
        </w:rPr>
      </w:pPr>
      <w:r>
        <w:tab/>
      </w:r>
      <w:r w:rsidR="00086ACE">
        <w:t xml:space="preserve">One key issue that is typically encountered in performance characterization of particle-based components is accurate measurements of average particle temperature. In heat exchanger </w:t>
      </w:r>
      <w:r w:rsidR="00086ACE">
        <w:t xml:space="preserve">performance evaluation, measuring the inlet and outlet temperature accurately is necessary for calculating temperature driving force as well as verifying closure of the energy balance to establish confidence in the measurements. The system configuration shown in </w:t>
      </w:r>
      <w:r w:rsidR="00086ACE">
        <w:rPr>
          <w:i/>
          <w:iCs/>
        </w:rPr>
        <w:fldChar w:fldCharType="begin"/>
      </w:r>
      <w:r w:rsidR="00086ACE">
        <w:instrText xml:space="preserve"> REF _Ref61204315 \h </w:instrText>
      </w:r>
      <w:r>
        <w:rPr>
          <w:i/>
          <w:iCs/>
        </w:rPr>
        <w:instrText xml:space="preserve"> \* MERGEFORMAT </w:instrText>
      </w:r>
      <w:r w:rsidR="00086ACE">
        <w:rPr>
          <w:i/>
          <w:iCs/>
        </w:rPr>
      </w:r>
      <w:r w:rsidR="00086ACE">
        <w:rPr>
          <w:i/>
          <w:iCs/>
        </w:rPr>
        <w:fldChar w:fldCharType="separate"/>
      </w:r>
      <w:r w:rsidR="009F5293" w:rsidRPr="009F5293">
        <w:t>Figure 2</w:t>
      </w:r>
      <w:r w:rsidR="00086ACE">
        <w:rPr>
          <w:i/>
          <w:iCs/>
        </w:rPr>
        <w:fldChar w:fldCharType="end"/>
      </w:r>
      <w:r w:rsidR="00086ACE">
        <w:t xml:space="preserve"> </w:t>
      </w:r>
      <w:r w:rsidR="00EF0A48">
        <w:t>implements</w:t>
      </w:r>
      <w:r w:rsidR="00086ACE">
        <w:t xml:space="preserve"> thermal equilibration length</w:t>
      </w:r>
      <w:r w:rsidR="00EF0A48">
        <w:t>s</w:t>
      </w:r>
      <w:r w:rsidR="00086ACE">
        <w:t xml:space="preserve"> both above and below the heat exchanger </w:t>
      </w:r>
      <w:r w:rsidR="00EF0A48">
        <w:t xml:space="preserve">and reduced cross-sections in the areas where thermocouples are installed. Since particle thermal conductivity is relatively low compared to fluid systems, installing a single temperature probe can result in a point temperature measurement that is not </w:t>
      </w:r>
      <w:r w:rsidR="00F47206">
        <w:t>necessarily</w:t>
      </w:r>
      <w:r w:rsidR="00EF0A48">
        <w:t xml:space="preserve"> representative of the bulk flow. In addition, low heat transfer coefficients between the temperature probe and particle bed can amplify the stem effect leading to large measurement error. Thus, temperature measurements must be made with as small of </w:t>
      </w:r>
      <w:r w:rsidR="00F47206">
        <w:t>probe</w:t>
      </w:r>
      <w:r w:rsidR="00EF0A48">
        <w:t xml:space="preserve"> diameter </w:t>
      </w:r>
      <w:r w:rsidR="00F47206">
        <w:t>as possible to minimize measurement uncertainty.</w:t>
      </w:r>
    </w:p>
    <w:p w14:paraId="767399AC" w14:textId="49720D7B" w:rsidR="00F47206" w:rsidRDefault="00EE44F4" w:rsidP="00EE44F4">
      <w:pPr>
        <w:pStyle w:val="BodyTextIndent"/>
        <w:tabs>
          <w:tab w:val="left" w:pos="360"/>
        </w:tabs>
        <w:ind w:firstLine="0"/>
      </w:pPr>
      <w:r>
        <w:tab/>
      </w:r>
      <w:r w:rsidR="00F47206">
        <w:t>Furthermore, high-temperature particle mass flow rate measurement ha</w:t>
      </w:r>
      <w:r w:rsidR="007919F7">
        <w:t>s</w:t>
      </w:r>
      <w:r w:rsidR="00F47206">
        <w:t xml:space="preserve"> notoriously been an issue with particle-based CSP. Gravimetric measurements of particle flow rate are currently the best approach to reliable measurement, but this approach requires the forethought to have an inline weigh hopper installed</w:t>
      </w:r>
      <w:r>
        <w:t xml:space="preserve"> in they system and consideration for allowing the hopper to expand without affecting the load cell measurement.</w:t>
      </w:r>
    </w:p>
    <w:p w14:paraId="151C44B3" w14:textId="4ECF2C62" w:rsidR="00EE44F4" w:rsidRPr="00F47206" w:rsidRDefault="00EE44F4" w:rsidP="00EE44F4">
      <w:pPr>
        <w:pStyle w:val="BodyTextIndent"/>
        <w:tabs>
          <w:tab w:val="left" w:pos="360"/>
        </w:tabs>
        <w:ind w:firstLine="0"/>
        <w:sectPr w:rsidR="00EE44F4" w:rsidRPr="00F47206" w:rsidSect="00A5037A">
          <w:type w:val="continuous"/>
          <w:pgSz w:w="12240" w:h="15840"/>
          <w:pgMar w:top="1440" w:right="720" w:bottom="1440" w:left="720" w:header="720" w:footer="720" w:gutter="0"/>
          <w:cols w:num="2" w:space="540" w:equalWidth="0">
            <w:col w:w="5130" w:space="540"/>
            <w:col w:w="5130"/>
          </w:cols>
        </w:sectPr>
      </w:pPr>
    </w:p>
    <w:p w14:paraId="6A1AA0E4" w14:textId="77777777" w:rsidR="00482323" w:rsidRDefault="00482323" w:rsidP="000C26B3">
      <w:pPr>
        <w:pStyle w:val="BodyTextIndent"/>
        <w:ind w:firstLine="0"/>
        <w:jc w:val="center"/>
        <w:rPr>
          <w:rFonts w:ascii="Arial" w:hAnsi="Arial" w:cs="Arial"/>
          <w:b/>
          <w:kern w:val="0"/>
        </w:rPr>
      </w:pPr>
    </w:p>
    <w:p w14:paraId="7C724E17" w14:textId="31D59750" w:rsidR="008637C2" w:rsidRDefault="008637C2" w:rsidP="000C26B3">
      <w:pPr>
        <w:pStyle w:val="BodyTextIndent"/>
        <w:ind w:firstLine="0"/>
        <w:jc w:val="center"/>
        <w:rPr>
          <w:rFonts w:ascii="Arial" w:hAnsi="Arial" w:cs="Arial"/>
          <w:b/>
          <w:kern w:val="0"/>
        </w:rPr>
      </w:pPr>
      <w:r>
        <w:rPr>
          <w:noProof/>
        </w:rPr>
        <w:drawing>
          <wp:inline distT="0" distB="0" distL="0" distR="0" wp14:anchorId="3517CE3E" wp14:editId="534C9F8D">
            <wp:extent cx="6819726" cy="426720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41431" cy="4280781"/>
                    </a:xfrm>
                    <a:prstGeom prst="rect">
                      <a:avLst/>
                    </a:prstGeom>
                    <a:noFill/>
                    <a:ln>
                      <a:noFill/>
                    </a:ln>
                  </pic:spPr>
                </pic:pic>
              </a:graphicData>
            </a:graphic>
          </wp:inline>
        </w:drawing>
      </w:r>
    </w:p>
    <w:p w14:paraId="03FEB5F4" w14:textId="094818E2" w:rsidR="000C26B3" w:rsidRDefault="00F96B79" w:rsidP="00F96B79">
      <w:pPr>
        <w:pStyle w:val="Caption"/>
        <w:rPr>
          <w:i w:val="0"/>
          <w:iCs w:val="0"/>
          <w:color w:val="auto"/>
        </w:rPr>
        <w:sectPr w:rsidR="000C26B3" w:rsidSect="000C26B3">
          <w:type w:val="continuous"/>
          <w:pgSz w:w="12240" w:h="15840"/>
          <w:pgMar w:top="1440" w:right="720" w:bottom="1440" w:left="720" w:header="720" w:footer="720" w:gutter="0"/>
          <w:cols w:space="540"/>
        </w:sectPr>
      </w:pPr>
      <w:bookmarkStart w:id="4" w:name="_Ref61204315"/>
      <w:r w:rsidRPr="0023171F">
        <w:rPr>
          <w:rFonts w:ascii="Arial" w:hAnsi="Arial" w:cs="Arial"/>
          <w:b/>
          <w:bCs/>
          <w:i w:val="0"/>
          <w:iCs w:val="0"/>
          <w:color w:val="auto"/>
          <w:sz w:val="20"/>
          <w:szCs w:val="20"/>
        </w:rPr>
        <w:t xml:space="preserve">Figure </w:t>
      </w:r>
      <w:r w:rsidRPr="0023171F">
        <w:rPr>
          <w:rFonts w:ascii="Arial" w:hAnsi="Arial" w:cs="Arial"/>
          <w:b/>
          <w:bCs/>
          <w:i w:val="0"/>
          <w:iCs w:val="0"/>
          <w:color w:val="auto"/>
          <w:sz w:val="20"/>
          <w:szCs w:val="20"/>
        </w:rPr>
        <w:fldChar w:fldCharType="begin"/>
      </w:r>
      <w:r w:rsidRPr="0023171F">
        <w:rPr>
          <w:rFonts w:ascii="Arial" w:hAnsi="Arial" w:cs="Arial"/>
          <w:b/>
          <w:bCs/>
          <w:i w:val="0"/>
          <w:iCs w:val="0"/>
          <w:color w:val="auto"/>
          <w:sz w:val="20"/>
          <w:szCs w:val="20"/>
        </w:rPr>
        <w:instrText xml:space="preserve"> SEQ Figure \* ARABIC </w:instrText>
      </w:r>
      <w:r w:rsidRPr="0023171F">
        <w:rPr>
          <w:rFonts w:ascii="Arial" w:hAnsi="Arial" w:cs="Arial"/>
          <w:b/>
          <w:bCs/>
          <w:i w:val="0"/>
          <w:iCs w:val="0"/>
          <w:color w:val="auto"/>
          <w:sz w:val="20"/>
          <w:szCs w:val="20"/>
        </w:rPr>
        <w:fldChar w:fldCharType="separate"/>
      </w:r>
      <w:r w:rsidR="009F5293">
        <w:rPr>
          <w:rFonts w:ascii="Arial" w:hAnsi="Arial" w:cs="Arial"/>
          <w:b/>
          <w:bCs/>
          <w:i w:val="0"/>
          <w:iCs w:val="0"/>
          <w:noProof/>
          <w:color w:val="auto"/>
          <w:sz w:val="20"/>
          <w:szCs w:val="20"/>
        </w:rPr>
        <w:t>2</w:t>
      </w:r>
      <w:r w:rsidRPr="0023171F">
        <w:rPr>
          <w:rFonts w:ascii="Arial" w:hAnsi="Arial" w:cs="Arial"/>
          <w:b/>
          <w:bCs/>
          <w:i w:val="0"/>
          <w:iCs w:val="0"/>
          <w:color w:val="auto"/>
          <w:sz w:val="20"/>
          <w:szCs w:val="20"/>
        </w:rPr>
        <w:fldChar w:fldCharType="end"/>
      </w:r>
      <w:bookmarkEnd w:id="4"/>
      <w:r w:rsidRPr="0023171F">
        <w:rPr>
          <w:rFonts w:ascii="Arial" w:hAnsi="Arial" w:cs="Arial"/>
          <w:b/>
          <w:bCs/>
          <w:i w:val="0"/>
          <w:iCs w:val="0"/>
          <w:color w:val="auto"/>
          <w:sz w:val="20"/>
          <w:szCs w:val="20"/>
        </w:rPr>
        <w:t>:</w:t>
      </w:r>
      <w:r w:rsidRPr="0023171F">
        <w:rPr>
          <w:i w:val="0"/>
          <w:iCs w:val="0"/>
          <w:color w:val="auto"/>
        </w:rPr>
        <w:t xml:space="preserve"> </w:t>
      </w:r>
      <w:r w:rsidR="008E24EC" w:rsidRPr="008E24EC">
        <w:rPr>
          <w:i w:val="0"/>
          <w:iCs w:val="0"/>
          <w:color w:val="auto"/>
        </w:rPr>
        <w:t>Illustration of the integrated particle and sCO</w:t>
      </w:r>
      <w:r w:rsidR="008E24EC" w:rsidRPr="008E24EC">
        <w:rPr>
          <w:i w:val="0"/>
          <w:iCs w:val="0"/>
          <w:color w:val="auto"/>
          <w:vertAlign w:val="subscript"/>
        </w:rPr>
        <w:t>2</w:t>
      </w:r>
      <w:r w:rsidR="008E24EC" w:rsidRPr="008E24EC">
        <w:rPr>
          <w:i w:val="0"/>
          <w:iCs w:val="0"/>
          <w:color w:val="auto"/>
        </w:rPr>
        <w:t xml:space="preserve"> flow loops and detailed layout of the particle flow loop with integrated 20 </w:t>
      </w:r>
      <w:proofErr w:type="spellStart"/>
      <w:r w:rsidR="008E24EC" w:rsidRPr="008E24EC">
        <w:rPr>
          <w:i w:val="0"/>
          <w:iCs w:val="0"/>
          <w:color w:val="auto"/>
        </w:rPr>
        <w:t>kW</w:t>
      </w:r>
      <w:r w:rsidR="008E24EC" w:rsidRPr="008E24EC">
        <w:rPr>
          <w:i w:val="0"/>
          <w:iCs w:val="0"/>
          <w:color w:val="auto"/>
          <w:vertAlign w:val="subscript"/>
        </w:rPr>
        <w:t>t</w:t>
      </w:r>
      <w:proofErr w:type="spellEnd"/>
      <w:r w:rsidR="008E24EC" w:rsidRPr="008E24EC">
        <w:rPr>
          <w:i w:val="0"/>
          <w:iCs w:val="0"/>
          <w:color w:val="auto"/>
        </w:rPr>
        <w:t xml:space="preserve"> subscale heat exchanger</w:t>
      </w:r>
    </w:p>
    <w:p w14:paraId="4AE2C933" w14:textId="1E0F8884" w:rsidR="00B651AC" w:rsidRDefault="0023171F" w:rsidP="00B651AC">
      <w:pPr>
        <w:pStyle w:val="BodyTextIndent"/>
        <w:numPr>
          <w:ilvl w:val="0"/>
          <w:numId w:val="3"/>
        </w:numPr>
        <w:ind w:left="360"/>
        <w:rPr>
          <w:rFonts w:ascii="Arial" w:hAnsi="Arial" w:cs="Arial"/>
          <w:b/>
          <w:kern w:val="0"/>
        </w:rPr>
      </w:pPr>
      <w:r>
        <w:rPr>
          <w:rFonts w:ascii="Arial" w:hAnsi="Arial" w:cs="Arial"/>
          <w:b/>
          <w:kern w:val="0"/>
        </w:rPr>
        <w:lastRenderedPageBreak/>
        <w:t xml:space="preserve">HEAT EXCHANGER </w:t>
      </w:r>
      <w:r w:rsidR="008B25D0">
        <w:rPr>
          <w:rFonts w:ascii="Arial" w:hAnsi="Arial" w:cs="Arial"/>
          <w:b/>
          <w:kern w:val="0"/>
        </w:rPr>
        <w:t>SUBSCALE PROTOTYPE</w:t>
      </w:r>
    </w:p>
    <w:p w14:paraId="4157F716" w14:textId="1B159EE9" w:rsidR="00AE0237" w:rsidRDefault="000A6DA2" w:rsidP="000A6DA2">
      <w:pPr>
        <w:pStyle w:val="BodyTextIndent"/>
        <w:tabs>
          <w:tab w:val="left" w:pos="360"/>
        </w:tabs>
        <w:ind w:firstLine="0"/>
      </w:pPr>
      <w:r>
        <w:tab/>
      </w:r>
      <w:r w:rsidR="00AE0237" w:rsidRPr="00AE0237">
        <w:t xml:space="preserve">A subscale manufacturing demonstration and performance characterization of </w:t>
      </w:r>
      <w:r w:rsidR="003D1102">
        <w:t xml:space="preserve">a </w:t>
      </w:r>
      <w:r w:rsidR="00482323">
        <w:t>small-scale</w:t>
      </w:r>
      <w:r w:rsidR="003D1102">
        <w:t xml:space="preserve"> prototype heat exchanger was developed based on the geometry being pursued for the </w:t>
      </w:r>
      <w:r w:rsidR="00AE0237" w:rsidRPr="00AE0237">
        <w:t>G3P3</w:t>
      </w:r>
      <w:r w:rsidR="003D1102">
        <w:t xml:space="preserve"> project.</w:t>
      </w:r>
      <w:r w:rsidR="00AE0237" w:rsidRPr="00AE0237">
        <w:t xml:space="preserve"> </w:t>
      </w:r>
      <w:r w:rsidR="003D1102">
        <w:t xml:space="preserve">The subscale heat exchanger was </w:t>
      </w:r>
      <w:r w:rsidR="00AE0237" w:rsidRPr="00AE0237">
        <w:t xml:space="preserve">developed at the 20 </w:t>
      </w:r>
      <w:proofErr w:type="spellStart"/>
      <w:r w:rsidR="00AE0237" w:rsidRPr="00AE0237">
        <w:t>kW</w:t>
      </w:r>
      <w:r w:rsidR="00AE0237" w:rsidRPr="00AE0237">
        <w:rPr>
          <w:vertAlign w:val="subscript"/>
        </w:rPr>
        <w:t>t</w:t>
      </w:r>
      <w:proofErr w:type="spellEnd"/>
      <w:r w:rsidR="00AE0237" w:rsidRPr="00AE0237">
        <w:t xml:space="preserve"> scale using stainless steel. The stainless-steel construction was identified as a method of expediting delivery and keeping prototype cost low while still being able to test the novel </w:t>
      </w:r>
      <w:r w:rsidR="003D1102">
        <w:t>design features</w:t>
      </w:r>
      <w:r w:rsidR="00AE0237" w:rsidRPr="00AE0237">
        <w:t xml:space="preserve">. The reduced heat exchanger duty was implemented by lowering the plate dimensions to 0.5 m by 0.2 m and the number of plates in parallel </w:t>
      </w:r>
      <w:r w:rsidR="003D1102">
        <w:t>t</w:t>
      </w:r>
      <w:r w:rsidR="00AE0237" w:rsidRPr="00AE0237">
        <w:t xml:space="preserve">o seven. However, the design features to be tested will be representative of </w:t>
      </w:r>
      <w:r w:rsidR="00AE0237">
        <w:t>larger scale heat exchangers</w:t>
      </w:r>
      <w:r w:rsidR="00AE0237" w:rsidRPr="00AE0237">
        <w:t>. The novel features include:</w:t>
      </w:r>
    </w:p>
    <w:p w14:paraId="22F73356" w14:textId="77777777" w:rsidR="000A6DA2" w:rsidRDefault="000A6DA2" w:rsidP="000A6DA2">
      <w:pPr>
        <w:pStyle w:val="BodyTextIndent"/>
        <w:ind w:firstLine="0"/>
      </w:pPr>
    </w:p>
    <w:p w14:paraId="4226C681" w14:textId="77777777" w:rsidR="00AE0237" w:rsidRDefault="00AE0237" w:rsidP="000A6DA2">
      <w:pPr>
        <w:pStyle w:val="BodyTextIndent"/>
        <w:numPr>
          <w:ilvl w:val="0"/>
          <w:numId w:val="5"/>
        </w:numPr>
        <w:ind w:left="270" w:hanging="270"/>
      </w:pPr>
      <w:r w:rsidRPr="00AE0237">
        <w:t>Integral porting on the sCO</w:t>
      </w:r>
      <w:r w:rsidRPr="00AE0237">
        <w:rPr>
          <w:vertAlign w:val="subscript"/>
        </w:rPr>
        <w:t>2</w:t>
      </w:r>
      <w:r w:rsidRPr="00AE0237">
        <w:t xml:space="preserve"> side to eliminate plate nozzles, reduce pressure drop, lower costs, improve sCO</w:t>
      </w:r>
      <w:r w:rsidRPr="00AE0237">
        <w:rPr>
          <w:vertAlign w:val="subscript"/>
        </w:rPr>
        <w:t>2</w:t>
      </w:r>
      <w:r w:rsidRPr="00AE0237">
        <w:t xml:space="preserve"> flow distribution, and allow for counter-flow arrangement</w:t>
      </w:r>
    </w:p>
    <w:p w14:paraId="7EFC5467" w14:textId="77777777" w:rsidR="00AE0237" w:rsidRDefault="00AE0237" w:rsidP="000A6DA2">
      <w:pPr>
        <w:pStyle w:val="BodyTextIndent"/>
        <w:numPr>
          <w:ilvl w:val="0"/>
          <w:numId w:val="5"/>
        </w:numPr>
        <w:ind w:left="270" w:hanging="270"/>
      </w:pPr>
      <w:r w:rsidRPr="00AE0237">
        <w:t>Combined bonded and brazed “caseless” heat exchanger manufacturing to allow for closer plate spacing (3 mm), an unobstructed particle flow path, and minimal assembly and welding</w:t>
      </w:r>
    </w:p>
    <w:p w14:paraId="3089C2CB" w14:textId="2028A3F5" w:rsidR="00AE0237" w:rsidRDefault="00AE0237" w:rsidP="000A6DA2">
      <w:pPr>
        <w:pStyle w:val="BodyTextIndent"/>
        <w:numPr>
          <w:ilvl w:val="0"/>
          <w:numId w:val="5"/>
        </w:numPr>
        <w:ind w:left="270" w:hanging="270"/>
      </w:pPr>
      <w:r w:rsidRPr="00AE0237">
        <w:t>Higher thermal performance through closer plate spacing, higher approach temperature, and counter flow arrangement</w:t>
      </w:r>
    </w:p>
    <w:p w14:paraId="3002C475" w14:textId="6849D9BC" w:rsidR="00AE0237" w:rsidRDefault="00AE0237" w:rsidP="000A6DA2">
      <w:pPr>
        <w:pStyle w:val="BodyTextIndent"/>
        <w:tabs>
          <w:tab w:val="left" w:pos="360"/>
        </w:tabs>
        <w:ind w:firstLine="0"/>
      </w:pPr>
    </w:p>
    <w:p w14:paraId="54F4F530" w14:textId="729FF181" w:rsidR="00AE0237" w:rsidRPr="00AE0237" w:rsidRDefault="000A6DA2" w:rsidP="000A6DA2">
      <w:pPr>
        <w:pStyle w:val="BodyTextIndent"/>
        <w:tabs>
          <w:tab w:val="left" w:pos="360"/>
        </w:tabs>
        <w:ind w:firstLine="0"/>
      </w:pPr>
      <w:r>
        <w:tab/>
      </w:r>
      <w:r w:rsidR="00AE0237" w:rsidRPr="00AE0237">
        <w:t>The final geometry of the 20-kW</w:t>
      </w:r>
      <w:r w:rsidR="00A764E7" w:rsidRPr="00A764E7">
        <w:rPr>
          <w:vertAlign w:val="subscript"/>
        </w:rPr>
        <w:t>t</w:t>
      </w:r>
      <w:r w:rsidR="00AE0237" w:rsidRPr="00AE0237">
        <w:t xml:space="preserve"> subscale heat exchanger is displayed in</w:t>
      </w:r>
      <w:r>
        <w:t xml:space="preserve"> </w:t>
      </w:r>
      <w:r w:rsidRPr="000A6DA2">
        <w:fldChar w:fldCharType="begin"/>
      </w:r>
      <w:r w:rsidRPr="000A6DA2">
        <w:instrText xml:space="preserve"> REF _Ref61265725 \h  \* MERGEFORMAT </w:instrText>
      </w:r>
      <w:r w:rsidRPr="000A6DA2">
        <w:fldChar w:fldCharType="separate"/>
      </w:r>
      <w:r w:rsidR="009F5293" w:rsidRPr="009F5293">
        <w:t xml:space="preserve">Figure </w:t>
      </w:r>
      <w:r w:rsidR="009F5293" w:rsidRPr="009F5293">
        <w:rPr>
          <w:noProof/>
        </w:rPr>
        <w:t>3</w:t>
      </w:r>
      <w:r w:rsidRPr="000A6DA2">
        <w:fldChar w:fldCharType="end"/>
      </w:r>
      <w:r>
        <w:t xml:space="preserve"> </w:t>
      </w:r>
      <w:r w:rsidR="00AE0237" w:rsidRPr="00AE0237">
        <w:t>with an exploded view to depict the sCO</w:t>
      </w:r>
      <w:r w:rsidR="00AE0237" w:rsidRPr="003D1102">
        <w:rPr>
          <w:vertAlign w:val="subscript"/>
        </w:rPr>
        <w:t>2</w:t>
      </w:r>
      <w:r w:rsidR="00AE0237" w:rsidRPr="00AE0237">
        <w:t xml:space="preserve"> and particle flow paths.</w:t>
      </w:r>
      <w:r w:rsidR="003D1102">
        <w:t xml:space="preserve"> In addition, the 20 </w:t>
      </w:r>
      <w:proofErr w:type="spellStart"/>
      <w:r w:rsidR="003D1102">
        <w:t>kW</w:t>
      </w:r>
      <w:r w:rsidR="00A764E7" w:rsidRPr="00A764E7">
        <w:rPr>
          <w:vertAlign w:val="subscript"/>
        </w:rPr>
        <w:t>t</w:t>
      </w:r>
      <w:proofErr w:type="spellEnd"/>
      <w:r w:rsidR="003D1102">
        <w:t xml:space="preserve"> prototype design point operating conditions are provided i</w:t>
      </w:r>
      <w:r w:rsidR="003D1102" w:rsidRPr="003D1102">
        <w:t xml:space="preserve">n </w:t>
      </w:r>
      <w:r w:rsidR="003D1102" w:rsidRPr="003D1102">
        <w:fldChar w:fldCharType="begin"/>
      </w:r>
      <w:r w:rsidR="003D1102" w:rsidRPr="003D1102">
        <w:instrText xml:space="preserve"> REF _Ref61266085 \h  \* MERGEFORMAT </w:instrText>
      </w:r>
      <w:r w:rsidR="003D1102" w:rsidRPr="003D1102">
        <w:fldChar w:fldCharType="separate"/>
      </w:r>
      <w:r w:rsidR="009F5293" w:rsidRPr="009F5293">
        <w:t xml:space="preserve">Table </w:t>
      </w:r>
      <w:r w:rsidR="009F5293" w:rsidRPr="009F5293">
        <w:rPr>
          <w:noProof/>
        </w:rPr>
        <w:t>1</w:t>
      </w:r>
      <w:r w:rsidR="003D1102" w:rsidRPr="003D1102">
        <w:fldChar w:fldCharType="end"/>
      </w:r>
      <w:r w:rsidR="003D1102" w:rsidRPr="003D1102">
        <w:t>.</w:t>
      </w:r>
      <w:r w:rsidR="00AE0237" w:rsidRPr="00AE0237">
        <w:t xml:space="preserve"> The heat </w:t>
      </w:r>
      <w:r w:rsidR="00AE0237" w:rsidRPr="00054262">
        <w:t xml:space="preserve">exchanger manufacturing </w:t>
      </w:r>
      <w:r w:rsidR="003D1102" w:rsidRPr="00054262">
        <w:t>and sCO</w:t>
      </w:r>
      <w:r w:rsidR="003D1102" w:rsidRPr="00A764E7">
        <w:rPr>
          <w:vertAlign w:val="subscript"/>
        </w:rPr>
        <w:t>2</w:t>
      </w:r>
      <w:r w:rsidR="003D1102" w:rsidRPr="00054262">
        <w:t xml:space="preserve"> channel layout </w:t>
      </w:r>
      <w:r w:rsidR="00AE0237" w:rsidRPr="00054262">
        <w:t>was</w:t>
      </w:r>
      <w:r w:rsidR="003D1102" w:rsidRPr="00054262">
        <w:t xml:space="preserve"> performed by Vacuum Process Engineering</w:t>
      </w:r>
      <w:r w:rsidR="00AE0237" w:rsidRPr="00054262">
        <w:t xml:space="preserve">. </w:t>
      </w:r>
      <w:r w:rsidR="003D1102" w:rsidRPr="00054262">
        <w:fldChar w:fldCharType="begin"/>
      </w:r>
      <w:r w:rsidR="003D1102" w:rsidRPr="00054262">
        <w:instrText xml:space="preserve"> REF _Ref61266196 \h  \* MERGEFORMAT </w:instrText>
      </w:r>
      <w:r w:rsidR="003D1102" w:rsidRPr="00054262">
        <w:fldChar w:fldCharType="separate"/>
      </w:r>
      <w:r w:rsidR="009F5293" w:rsidRPr="009F5293">
        <w:t xml:space="preserve">Figure </w:t>
      </w:r>
      <w:r w:rsidR="009F5293" w:rsidRPr="009F5293">
        <w:rPr>
          <w:noProof/>
        </w:rPr>
        <w:t>4</w:t>
      </w:r>
      <w:r w:rsidR="003D1102" w:rsidRPr="00054262">
        <w:fldChar w:fldCharType="end"/>
      </w:r>
      <w:r w:rsidR="00054262" w:rsidRPr="00054262">
        <w:t xml:space="preserve"> and </w:t>
      </w:r>
      <w:r w:rsidR="00054262" w:rsidRPr="00054262">
        <w:fldChar w:fldCharType="begin"/>
      </w:r>
      <w:r w:rsidR="00054262" w:rsidRPr="00054262">
        <w:instrText xml:space="preserve"> REF _Ref61266264 \h  \* MERGEFORMAT </w:instrText>
      </w:r>
      <w:r w:rsidR="00054262" w:rsidRPr="00054262">
        <w:fldChar w:fldCharType="separate"/>
      </w:r>
      <w:r w:rsidR="009F5293" w:rsidRPr="009F5293">
        <w:t xml:space="preserve">Figure </w:t>
      </w:r>
      <w:r w:rsidR="009F5293" w:rsidRPr="009F5293">
        <w:rPr>
          <w:noProof/>
        </w:rPr>
        <w:t>5</w:t>
      </w:r>
      <w:r w:rsidR="00054262" w:rsidRPr="00054262">
        <w:fldChar w:fldCharType="end"/>
      </w:r>
      <w:r w:rsidR="00054262" w:rsidRPr="00054262">
        <w:t xml:space="preserve"> </w:t>
      </w:r>
      <w:r w:rsidR="00AE0237" w:rsidRPr="00054262">
        <w:t>display the completed heat exchanger. The</w:t>
      </w:r>
      <w:r w:rsidR="00AE0237" w:rsidRPr="00AE0237">
        <w:t xml:space="preserve"> performance measurement of heat transfer coefficient and pressure drop are reported in a future section.</w:t>
      </w:r>
    </w:p>
    <w:p w14:paraId="47558BAE" w14:textId="77777777" w:rsidR="00DD3903" w:rsidRDefault="00DD3903" w:rsidP="00DD3903">
      <w:pPr>
        <w:pStyle w:val="BodyTextIndent"/>
        <w:ind w:firstLine="0"/>
        <w:rPr>
          <w:rFonts w:ascii="Arial" w:hAnsi="Arial" w:cs="Arial"/>
          <w:b/>
          <w:kern w:val="0"/>
        </w:rPr>
      </w:pPr>
    </w:p>
    <w:p w14:paraId="022D65BE" w14:textId="3C256B04" w:rsidR="0023171F" w:rsidRDefault="00B86FAF" w:rsidP="00B86FAF">
      <w:pPr>
        <w:pStyle w:val="BodyTextIndent"/>
        <w:keepNext/>
        <w:ind w:firstLine="0"/>
        <w:jc w:val="center"/>
      </w:pPr>
      <w:r>
        <w:rPr>
          <w:noProof/>
        </w:rPr>
        <w:drawing>
          <wp:inline distT="0" distB="0" distL="0" distR="0" wp14:anchorId="0C5BCA9E" wp14:editId="14B92364">
            <wp:extent cx="1944636" cy="29499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569" cy="2995341"/>
                    </a:xfrm>
                    <a:prstGeom prst="rect">
                      <a:avLst/>
                    </a:prstGeom>
                    <a:noFill/>
                    <a:ln>
                      <a:noFill/>
                    </a:ln>
                  </pic:spPr>
                </pic:pic>
              </a:graphicData>
            </a:graphic>
          </wp:inline>
        </w:drawing>
      </w:r>
    </w:p>
    <w:p w14:paraId="7169797B" w14:textId="3C1ABEAA" w:rsidR="000C26B3" w:rsidRDefault="0023171F" w:rsidP="000C26B3">
      <w:pPr>
        <w:pStyle w:val="Caption"/>
        <w:rPr>
          <w:kern w:val="0"/>
        </w:rPr>
      </w:pPr>
      <w:bookmarkStart w:id="5" w:name="_Ref61265725"/>
      <w:r w:rsidRPr="0023171F">
        <w:rPr>
          <w:rFonts w:ascii="Arial" w:hAnsi="Arial" w:cs="Arial"/>
          <w:b/>
          <w:bCs/>
          <w:i w:val="0"/>
          <w:iCs w:val="0"/>
          <w:color w:val="auto"/>
          <w:sz w:val="20"/>
          <w:szCs w:val="20"/>
        </w:rPr>
        <w:t xml:space="preserve">Figure </w:t>
      </w:r>
      <w:r w:rsidRPr="0023171F">
        <w:rPr>
          <w:rFonts w:ascii="Arial" w:hAnsi="Arial" w:cs="Arial"/>
          <w:b/>
          <w:bCs/>
          <w:i w:val="0"/>
          <w:iCs w:val="0"/>
          <w:color w:val="auto"/>
          <w:sz w:val="20"/>
          <w:szCs w:val="20"/>
        </w:rPr>
        <w:fldChar w:fldCharType="begin"/>
      </w:r>
      <w:r w:rsidRPr="0023171F">
        <w:rPr>
          <w:rFonts w:ascii="Arial" w:hAnsi="Arial" w:cs="Arial"/>
          <w:b/>
          <w:bCs/>
          <w:i w:val="0"/>
          <w:iCs w:val="0"/>
          <w:color w:val="auto"/>
          <w:sz w:val="20"/>
          <w:szCs w:val="20"/>
        </w:rPr>
        <w:instrText xml:space="preserve"> SEQ Figure \* ARABIC </w:instrText>
      </w:r>
      <w:r w:rsidRPr="0023171F">
        <w:rPr>
          <w:rFonts w:ascii="Arial" w:hAnsi="Arial" w:cs="Arial"/>
          <w:b/>
          <w:bCs/>
          <w:i w:val="0"/>
          <w:iCs w:val="0"/>
          <w:color w:val="auto"/>
          <w:sz w:val="20"/>
          <w:szCs w:val="20"/>
        </w:rPr>
        <w:fldChar w:fldCharType="separate"/>
      </w:r>
      <w:r w:rsidR="009F5293">
        <w:rPr>
          <w:rFonts w:ascii="Arial" w:hAnsi="Arial" w:cs="Arial"/>
          <w:b/>
          <w:bCs/>
          <w:i w:val="0"/>
          <w:iCs w:val="0"/>
          <w:noProof/>
          <w:color w:val="auto"/>
          <w:sz w:val="20"/>
          <w:szCs w:val="20"/>
        </w:rPr>
        <w:t>3</w:t>
      </w:r>
      <w:r w:rsidRPr="0023171F">
        <w:rPr>
          <w:rFonts w:ascii="Arial" w:hAnsi="Arial" w:cs="Arial"/>
          <w:b/>
          <w:bCs/>
          <w:i w:val="0"/>
          <w:iCs w:val="0"/>
          <w:color w:val="auto"/>
          <w:sz w:val="20"/>
          <w:szCs w:val="20"/>
        </w:rPr>
        <w:fldChar w:fldCharType="end"/>
      </w:r>
      <w:bookmarkEnd w:id="5"/>
      <w:r w:rsidRPr="0023171F">
        <w:rPr>
          <w:rFonts w:ascii="Arial" w:hAnsi="Arial" w:cs="Arial"/>
          <w:b/>
          <w:bCs/>
          <w:i w:val="0"/>
          <w:iCs w:val="0"/>
          <w:color w:val="auto"/>
          <w:sz w:val="20"/>
          <w:szCs w:val="20"/>
        </w:rPr>
        <w:t>:</w:t>
      </w:r>
      <w:r w:rsidRPr="0023171F">
        <w:rPr>
          <w:i w:val="0"/>
          <w:iCs w:val="0"/>
          <w:color w:val="auto"/>
        </w:rPr>
        <w:t xml:space="preserve"> Illustration of 20 </w:t>
      </w:r>
      <w:proofErr w:type="spellStart"/>
      <w:r w:rsidRPr="0023171F">
        <w:rPr>
          <w:i w:val="0"/>
          <w:iCs w:val="0"/>
          <w:color w:val="auto"/>
        </w:rPr>
        <w:t>kW</w:t>
      </w:r>
      <w:r w:rsidR="00215C68" w:rsidRPr="00215C68">
        <w:rPr>
          <w:i w:val="0"/>
          <w:iCs w:val="0"/>
          <w:color w:val="auto"/>
          <w:vertAlign w:val="subscript"/>
        </w:rPr>
        <w:t>t</w:t>
      </w:r>
      <w:proofErr w:type="spellEnd"/>
      <w:r w:rsidRPr="0023171F">
        <w:rPr>
          <w:i w:val="0"/>
          <w:iCs w:val="0"/>
          <w:color w:val="auto"/>
        </w:rPr>
        <w:t xml:space="preserve"> prototype heat exchanger design and exploded view capturing conceptual </w:t>
      </w:r>
      <w:r w:rsidR="008A6CC9">
        <w:rPr>
          <w:i w:val="0"/>
          <w:iCs w:val="0"/>
          <w:color w:val="auto"/>
        </w:rPr>
        <w:t>s</w:t>
      </w:r>
      <w:r w:rsidRPr="0023171F">
        <w:rPr>
          <w:i w:val="0"/>
          <w:iCs w:val="0"/>
          <w:color w:val="auto"/>
        </w:rPr>
        <w:t>CO</w:t>
      </w:r>
      <w:r w:rsidRPr="0023171F">
        <w:rPr>
          <w:i w:val="0"/>
          <w:iCs w:val="0"/>
          <w:color w:val="auto"/>
          <w:vertAlign w:val="subscript"/>
        </w:rPr>
        <w:t>2</w:t>
      </w:r>
      <w:r w:rsidRPr="0023171F">
        <w:rPr>
          <w:i w:val="0"/>
          <w:iCs w:val="0"/>
          <w:color w:val="auto"/>
        </w:rPr>
        <w:t xml:space="preserve"> and particle flow paths</w:t>
      </w:r>
    </w:p>
    <w:p w14:paraId="6FFCE7E5" w14:textId="75F1EA3D" w:rsidR="006A0F83" w:rsidRPr="006A0F83" w:rsidRDefault="006A0F83" w:rsidP="00054262">
      <w:pPr>
        <w:pStyle w:val="Caption"/>
        <w:keepNext/>
        <w:spacing w:after="0"/>
      </w:pPr>
      <w:bookmarkStart w:id="6" w:name="_Ref61266085"/>
      <w:r w:rsidRPr="00F366A4">
        <w:rPr>
          <w:rFonts w:ascii="Arial" w:hAnsi="Arial" w:cs="Arial"/>
          <w:b/>
          <w:bCs/>
          <w:i w:val="0"/>
          <w:iCs w:val="0"/>
          <w:color w:val="auto"/>
          <w:sz w:val="20"/>
          <w:szCs w:val="20"/>
        </w:rPr>
        <w:t xml:space="preserve">Table </w:t>
      </w:r>
      <w:r w:rsidRPr="00F366A4">
        <w:rPr>
          <w:rFonts w:ascii="Arial" w:hAnsi="Arial" w:cs="Arial"/>
          <w:b/>
          <w:bCs/>
          <w:i w:val="0"/>
          <w:iCs w:val="0"/>
          <w:color w:val="auto"/>
          <w:sz w:val="20"/>
          <w:szCs w:val="20"/>
        </w:rPr>
        <w:fldChar w:fldCharType="begin"/>
      </w:r>
      <w:r w:rsidRPr="00F366A4">
        <w:rPr>
          <w:rFonts w:ascii="Arial" w:hAnsi="Arial" w:cs="Arial"/>
          <w:b/>
          <w:bCs/>
          <w:i w:val="0"/>
          <w:iCs w:val="0"/>
          <w:color w:val="auto"/>
          <w:sz w:val="20"/>
          <w:szCs w:val="20"/>
        </w:rPr>
        <w:instrText xml:space="preserve"> SEQ Table \* ARABIC </w:instrText>
      </w:r>
      <w:r w:rsidRPr="00F366A4">
        <w:rPr>
          <w:rFonts w:ascii="Arial" w:hAnsi="Arial" w:cs="Arial"/>
          <w:b/>
          <w:bCs/>
          <w:i w:val="0"/>
          <w:iCs w:val="0"/>
          <w:color w:val="auto"/>
          <w:sz w:val="20"/>
          <w:szCs w:val="20"/>
        </w:rPr>
        <w:fldChar w:fldCharType="separate"/>
      </w:r>
      <w:r w:rsidR="009F5293">
        <w:rPr>
          <w:rFonts w:ascii="Arial" w:hAnsi="Arial" w:cs="Arial"/>
          <w:b/>
          <w:bCs/>
          <w:i w:val="0"/>
          <w:iCs w:val="0"/>
          <w:noProof/>
          <w:color w:val="auto"/>
          <w:sz w:val="20"/>
          <w:szCs w:val="20"/>
        </w:rPr>
        <w:t>1</w:t>
      </w:r>
      <w:r w:rsidRPr="00F366A4">
        <w:rPr>
          <w:rFonts w:ascii="Arial" w:hAnsi="Arial" w:cs="Arial"/>
          <w:b/>
          <w:bCs/>
          <w:i w:val="0"/>
          <w:iCs w:val="0"/>
          <w:color w:val="auto"/>
          <w:sz w:val="20"/>
          <w:szCs w:val="20"/>
        </w:rPr>
        <w:fldChar w:fldCharType="end"/>
      </w:r>
      <w:bookmarkEnd w:id="6"/>
      <w:r w:rsidRPr="00F366A4">
        <w:rPr>
          <w:rFonts w:ascii="Arial" w:hAnsi="Arial" w:cs="Arial"/>
          <w:b/>
          <w:bCs/>
          <w:i w:val="0"/>
          <w:iCs w:val="0"/>
          <w:color w:val="auto"/>
          <w:sz w:val="20"/>
          <w:szCs w:val="20"/>
        </w:rPr>
        <w:t>:</w:t>
      </w:r>
      <w:r w:rsidRPr="00F366A4">
        <w:rPr>
          <w:i w:val="0"/>
          <w:iCs w:val="0"/>
          <w:color w:val="auto"/>
        </w:rPr>
        <w:t xml:space="preserve"> Desig</w:t>
      </w:r>
      <w:r w:rsidR="00F366A4">
        <w:rPr>
          <w:i w:val="0"/>
          <w:iCs w:val="0"/>
          <w:color w:val="auto"/>
        </w:rPr>
        <w:t>n conditions</w:t>
      </w:r>
      <w:r w:rsidRPr="00F366A4">
        <w:rPr>
          <w:i w:val="0"/>
          <w:iCs w:val="0"/>
          <w:color w:val="auto"/>
        </w:rPr>
        <w:t xml:space="preserve"> for the 20</w:t>
      </w:r>
      <w:r w:rsidR="00F366A4">
        <w:rPr>
          <w:i w:val="0"/>
          <w:iCs w:val="0"/>
          <w:color w:val="auto"/>
        </w:rPr>
        <w:t xml:space="preserve"> </w:t>
      </w:r>
      <w:proofErr w:type="spellStart"/>
      <w:r w:rsidRPr="00F366A4">
        <w:rPr>
          <w:i w:val="0"/>
          <w:iCs w:val="0"/>
          <w:color w:val="auto"/>
        </w:rPr>
        <w:t>kW</w:t>
      </w:r>
      <w:r w:rsidR="00F366A4" w:rsidRPr="00F366A4">
        <w:rPr>
          <w:i w:val="0"/>
          <w:iCs w:val="0"/>
          <w:color w:val="auto"/>
          <w:vertAlign w:val="subscript"/>
        </w:rPr>
        <w:t>t</w:t>
      </w:r>
      <w:proofErr w:type="spellEnd"/>
      <w:r w:rsidRPr="00F366A4">
        <w:rPr>
          <w:i w:val="0"/>
          <w:iCs w:val="0"/>
          <w:color w:val="auto"/>
        </w:rPr>
        <w:t xml:space="preserve"> prototype</w:t>
      </w:r>
      <w:r w:rsidR="00F366A4">
        <w:rPr>
          <w:i w:val="0"/>
          <w:iCs w:val="0"/>
          <w:color w:val="auto"/>
        </w:rPr>
        <w:t xml:space="preserve"> heat exchanger</w:t>
      </w:r>
    </w:p>
    <w:p w14:paraId="03806C21" w14:textId="31968F6A" w:rsidR="00054262" w:rsidRDefault="006A0F83" w:rsidP="00054262">
      <w:pPr>
        <w:pStyle w:val="Caption"/>
        <w:jc w:val="center"/>
        <w:rPr>
          <w:i w:val="0"/>
          <w:iCs w:val="0"/>
          <w:color w:val="auto"/>
        </w:rPr>
      </w:pPr>
      <w:r w:rsidRPr="005A5728">
        <w:rPr>
          <w:noProof/>
        </w:rPr>
        <w:drawing>
          <wp:inline distT="0" distB="0" distL="0" distR="0" wp14:anchorId="31EF170F" wp14:editId="3C547410">
            <wp:extent cx="2666382" cy="180567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772" r="21133"/>
                    <a:stretch/>
                  </pic:blipFill>
                  <pic:spPr bwMode="auto">
                    <a:xfrm>
                      <a:off x="0" y="0"/>
                      <a:ext cx="2698568" cy="1827472"/>
                    </a:xfrm>
                    <a:prstGeom prst="rect">
                      <a:avLst/>
                    </a:prstGeom>
                    <a:noFill/>
                    <a:ln>
                      <a:noFill/>
                    </a:ln>
                    <a:extLst>
                      <a:ext uri="{53640926-AAD7-44D8-BBD7-CCE9431645EC}">
                        <a14:shadowObscured xmlns:a14="http://schemas.microsoft.com/office/drawing/2010/main"/>
                      </a:ext>
                    </a:extLst>
                  </pic:spPr>
                </pic:pic>
              </a:graphicData>
            </a:graphic>
          </wp:inline>
        </w:drawing>
      </w:r>
    </w:p>
    <w:p w14:paraId="7DA698BF" w14:textId="0B5E5406" w:rsidR="00054262" w:rsidRPr="0023171F" w:rsidRDefault="00127871" w:rsidP="00054262">
      <w:pPr>
        <w:jc w:val="center"/>
      </w:pPr>
      <w:r>
        <w:rPr>
          <w:noProof/>
        </w:rPr>
        <w:drawing>
          <wp:inline distT="0" distB="0" distL="0" distR="0" wp14:anchorId="5D785006" wp14:editId="15BD450E">
            <wp:extent cx="2114057" cy="2925048"/>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11" t="16932" r="10745" b="15318"/>
                    <a:stretch/>
                  </pic:blipFill>
                  <pic:spPr bwMode="auto">
                    <a:xfrm>
                      <a:off x="0" y="0"/>
                      <a:ext cx="2148941" cy="2973314"/>
                    </a:xfrm>
                    <a:prstGeom prst="rect">
                      <a:avLst/>
                    </a:prstGeom>
                    <a:noFill/>
                    <a:ln>
                      <a:noFill/>
                    </a:ln>
                    <a:extLst>
                      <a:ext uri="{53640926-AAD7-44D8-BBD7-CCE9431645EC}">
                        <a14:shadowObscured xmlns:a14="http://schemas.microsoft.com/office/drawing/2010/main"/>
                      </a:ext>
                    </a:extLst>
                  </pic:spPr>
                </pic:pic>
              </a:graphicData>
            </a:graphic>
          </wp:inline>
        </w:drawing>
      </w:r>
    </w:p>
    <w:p w14:paraId="7B3ECBE6" w14:textId="2A99F41E" w:rsidR="00054262" w:rsidRDefault="00054262" w:rsidP="00054262">
      <w:pPr>
        <w:pStyle w:val="Caption"/>
        <w:rPr>
          <w:kern w:val="0"/>
        </w:rPr>
      </w:pPr>
      <w:bookmarkStart w:id="7" w:name="_Ref61266196"/>
      <w:r w:rsidRPr="0023171F">
        <w:rPr>
          <w:rFonts w:ascii="Arial" w:hAnsi="Arial" w:cs="Arial"/>
          <w:b/>
          <w:bCs/>
          <w:i w:val="0"/>
          <w:iCs w:val="0"/>
          <w:color w:val="auto"/>
          <w:sz w:val="20"/>
          <w:szCs w:val="20"/>
        </w:rPr>
        <w:t xml:space="preserve">Figure </w:t>
      </w:r>
      <w:r w:rsidRPr="0023171F">
        <w:rPr>
          <w:rFonts w:ascii="Arial" w:hAnsi="Arial" w:cs="Arial"/>
          <w:b/>
          <w:bCs/>
          <w:i w:val="0"/>
          <w:iCs w:val="0"/>
          <w:color w:val="auto"/>
          <w:sz w:val="20"/>
          <w:szCs w:val="20"/>
        </w:rPr>
        <w:fldChar w:fldCharType="begin"/>
      </w:r>
      <w:r w:rsidRPr="0023171F">
        <w:rPr>
          <w:rFonts w:ascii="Arial" w:hAnsi="Arial" w:cs="Arial"/>
          <w:b/>
          <w:bCs/>
          <w:i w:val="0"/>
          <w:iCs w:val="0"/>
          <w:color w:val="auto"/>
          <w:sz w:val="20"/>
          <w:szCs w:val="20"/>
        </w:rPr>
        <w:instrText xml:space="preserve"> SEQ Figure \* ARABIC </w:instrText>
      </w:r>
      <w:r w:rsidRPr="0023171F">
        <w:rPr>
          <w:rFonts w:ascii="Arial" w:hAnsi="Arial" w:cs="Arial"/>
          <w:b/>
          <w:bCs/>
          <w:i w:val="0"/>
          <w:iCs w:val="0"/>
          <w:color w:val="auto"/>
          <w:sz w:val="20"/>
          <w:szCs w:val="20"/>
        </w:rPr>
        <w:fldChar w:fldCharType="separate"/>
      </w:r>
      <w:r w:rsidR="009F5293">
        <w:rPr>
          <w:rFonts w:ascii="Arial" w:hAnsi="Arial" w:cs="Arial"/>
          <w:b/>
          <w:bCs/>
          <w:i w:val="0"/>
          <w:iCs w:val="0"/>
          <w:noProof/>
          <w:color w:val="auto"/>
          <w:sz w:val="20"/>
          <w:szCs w:val="20"/>
        </w:rPr>
        <w:t>4</w:t>
      </w:r>
      <w:r w:rsidRPr="0023171F">
        <w:rPr>
          <w:rFonts w:ascii="Arial" w:hAnsi="Arial" w:cs="Arial"/>
          <w:b/>
          <w:bCs/>
          <w:i w:val="0"/>
          <w:iCs w:val="0"/>
          <w:color w:val="auto"/>
          <w:sz w:val="20"/>
          <w:szCs w:val="20"/>
        </w:rPr>
        <w:fldChar w:fldCharType="end"/>
      </w:r>
      <w:bookmarkEnd w:id="7"/>
      <w:r w:rsidRPr="0023171F">
        <w:rPr>
          <w:rFonts w:ascii="Arial" w:hAnsi="Arial" w:cs="Arial"/>
          <w:b/>
          <w:bCs/>
          <w:i w:val="0"/>
          <w:iCs w:val="0"/>
          <w:color w:val="auto"/>
          <w:sz w:val="20"/>
          <w:szCs w:val="20"/>
        </w:rPr>
        <w:t>:</w:t>
      </w:r>
      <w:r w:rsidRPr="0023171F">
        <w:rPr>
          <w:i w:val="0"/>
          <w:iCs w:val="0"/>
          <w:color w:val="auto"/>
        </w:rPr>
        <w:t xml:space="preserve"> </w:t>
      </w:r>
      <w:r>
        <w:rPr>
          <w:i w:val="0"/>
          <w:iCs w:val="0"/>
          <w:color w:val="auto"/>
        </w:rPr>
        <w:t xml:space="preserve">Photo of the manufactured </w:t>
      </w:r>
      <w:r w:rsidRPr="0023171F">
        <w:rPr>
          <w:i w:val="0"/>
          <w:iCs w:val="0"/>
          <w:color w:val="auto"/>
        </w:rPr>
        <w:t xml:space="preserve">20 </w:t>
      </w:r>
      <w:proofErr w:type="spellStart"/>
      <w:r w:rsidRPr="0023171F">
        <w:rPr>
          <w:i w:val="0"/>
          <w:iCs w:val="0"/>
          <w:color w:val="auto"/>
        </w:rPr>
        <w:t>kW</w:t>
      </w:r>
      <w:r w:rsidRPr="00215C68">
        <w:rPr>
          <w:i w:val="0"/>
          <w:iCs w:val="0"/>
          <w:color w:val="auto"/>
          <w:vertAlign w:val="subscript"/>
        </w:rPr>
        <w:t>t</w:t>
      </w:r>
      <w:proofErr w:type="spellEnd"/>
      <w:r w:rsidRPr="0023171F">
        <w:rPr>
          <w:i w:val="0"/>
          <w:iCs w:val="0"/>
          <w:color w:val="auto"/>
        </w:rPr>
        <w:t xml:space="preserve"> prototype heat exchanger </w:t>
      </w:r>
      <w:r w:rsidR="00127871">
        <w:rPr>
          <w:i w:val="0"/>
          <w:iCs w:val="0"/>
          <w:color w:val="auto"/>
        </w:rPr>
        <w:t>installation</w:t>
      </w:r>
    </w:p>
    <w:p w14:paraId="0613AF20" w14:textId="4FF74AAF" w:rsidR="008C095F" w:rsidRDefault="008C095F" w:rsidP="005E134D">
      <w:pPr>
        <w:pStyle w:val="BodyTextIndent"/>
        <w:numPr>
          <w:ilvl w:val="0"/>
          <w:numId w:val="3"/>
        </w:numPr>
        <w:ind w:left="360"/>
        <w:rPr>
          <w:rFonts w:ascii="Arial" w:hAnsi="Arial" w:cs="Arial"/>
          <w:b/>
          <w:kern w:val="0"/>
        </w:rPr>
      </w:pPr>
      <w:r w:rsidRPr="008C095F">
        <w:rPr>
          <w:rFonts w:ascii="Arial" w:hAnsi="Arial" w:cs="Arial"/>
          <w:b/>
          <w:kern w:val="0"/>
        </w:rPr>
        <w:t>RESULTS AND DISCUSSION</w:t>
      </w:r>
    </w:p>
    <w:p w14:paraId="60CC8F25" w14:textId="12DE820A" w:rsidR="00054262" w:rsidRDefault="00E663DD" w:rsidP="00E663DD">
      <w:pPr>
        <w:pStyle w:val="BodyTextIndent"/>
        <w:tabs>
          <w:tab w:val="left" w:pos="369"/>
        </w:tabs>
        <w:ind w:firstLine="0"/>
      </w:pPr>
      <w:r>
        <w:rPr>
          <w:sz w:val="18"/>
          <w:szCs w:val="18"/>
        </w:rPr>
        <w:tab/>
      </w:r>
      <w:r w:rsidR="00F366A4" w:rsidRPr="000258AC">
        <w:t>T</w:t>
      </w:r>
      <w:r w:rsidR="00054262">
        <w:t>he performance t</w:t>
      </w:r>
      <w:r w:rsidR="00F366A4" w:rsidRPr="000258AC">
        <w:t>esting of the 20-kW</w:t>
      </w:r>
      <w:r w:rsidR="00F366A4" w:rsidRPr="000258AC">
        <w:rPr>
          <w:vertAlign w:val="subscript"/>
        </w:rPr>
        <w:t>t</w:t>
      </w:r>
      <w:r w:rsidR="00F366A4" w:rsidRPr="000258AC">
        <w:t xml:space="preserve"> subscale prototype</w:t>
      </w:r>
      <w:r w:rsidR="00054262">
        <w:t xml:space="preserve"> was conducted using the previously discussed integrated particle and sCO</w:t>
      </w:r>
      <w:r w:rsidR="00054262" w:rsidRPr="00054262">
        <w:rPr>
          <w:vertAlign w:val="subscript"/>
        </w:rPr>
        <w:t>2</w:t>
      </w:r>
      <w:r w:rsidR="00054262">
        <w:t xml:space="preserve"> flow loops. In order to understand how the performance of the prototype </w:t>
      </w:r>
      <w:r w:rsidR="00F366A4" w:rsidRPr="000258AC">
        <w:t xml:space="preserve">heat exchanger </w:t>
      </w:r>
      <w:r w:rsidR="00054262">
        <w:t xml:space="preserve">was affected by operating conditions performance measurements for the overall heat transfer coefficient and pressure drop were made every </w:t>
      </w:r>
      <w:r w:rsidR="007919F7">
        <w:t>5</w:t>
      </w:r>
      <w:r w:rsidR="00054262">
        <w:t>0 °C beginning at a particle inlet temperature of 200 °C</w:t>
      </w:r>
      <w:r w:rsidR="002E2BAB">
        <w:t xml:space="preserve"> until the design point condition was reached</w:t>
      </w:r>
      <w:r w:rsidR="00054262">
        <w:t>.</w:t>
      </w:r>
    </w:p>
    <w:p w14:paraId="5CF8F723" w14:textId="29A8F237" w:rsidR="00F366A4" w:rsidRDefault="00054262" w:rsidP="00E663DD">
      <w:pPr>
        <w:pStyle w:val="BodyTextIndent"/>
        <w:tabs>
          <w:tab w:val="left" w:pos="369"/>
        </w:tabs>
        <w:ind w:firstLine="0"/>
      </w:pPr>
      <w:r>
        <w:tab/>
        <w:t xml:space="preserve">The </w:t>
      </w:r>
      <w:r w:rsidR="00217DC3">
        <w:t>approach to conducting the thermal performance tests was to be</w:t>
      </w:r>
      <w:r w:rsidR="002E2BAB">
        <w:t>g</w:t>
      </w:r>
      <w:r w:rsidR="00217DC3">
        <w:t>in with the system at ambient temperature and flow sCO</w:t>
      </w:r>
      <w:r w:rsidR="00217DC3" w:rsidRPr="00217DC3">
        <w:rPr>
          <w:vertAlign w:val="subscript"/>
        </w:rPr>
        <w:t>2</w:t>
      </w:r>
      <w:r w:rsidR="00217DC3">
        <w:t xml:space="preserve"> and particles at the design flow rates</w:t>
      </w:r>
      <w:r w:rsidR="00F366A4" w:rsidRPr="000258AC">
        <w:t xml:space="preserve">. The particle heat exchanger inlet temperature </w:t>
      </w:r>
      <w:r w:rsidR="007919F7">
        <w:t>was</w:t>
      </w:r>
      <w:r w:rsidR="00F366A4" w:rsidRPr="000258AC">
        <w:t xml:space="preserve"> slowly ramped to the desired operating temperature by controlling the electrical heat addition in the heater. Once the electric heater reache</w:t>
      </w:r>
      <w:r w:rsidR="007919F7">
        <w:t>d</w:t>
      </w:r>
      <w:r w:rsidR="00F366A4" w:rsidRPr="000258AC">
        <w:t xml:space="preserve"> the target inlet temperature, PID control of the electric heater was enabled and the flow valves on the sCO</w:t>
      </w:r>
      <w:r w:rsidR="00F366A4" w:rsidRPr="000258AC">
        <w:rPr>
          <w:vertAlign w:val="subscript"/>
        </w:rPr>
        <w:t>2</w:t>
      </w:r>
      <w:r w:rsidR="00F366A4" w:rsidRPr="000258AC">
        <w:t xml:space="preserve"> side were adjusted to manipulate the sCO</w:t>
      </w:r>
      <w:r w:rsidR="00F366A4" w:rsidRPr="000258AC">
        <w:rPr>
          <w:vertAlign w:val="subscript"/>
        </w:rPr>
        <w:t>2</w:t>
      </w:r>
      <w:r w:rsidR="00F366A4" w:rsidRPr="000258AC">
        <w:t xml:space="preserve"> inlet temperature</w:t>
      </w:r>
      <w:r w:rsidR="00217DC3">
        <w:t xml:space="preserve"> to the desired value</w:t>
      </w:r>
      <w:r w:rsidR="00F366A4" w:rsidRPr="000258AC">
        <w:t xml:space="preserve">. The temperature measurements were allowed to stabilize and remain at steady </w:t>
      </w:r>
      <w:r w:rsidR="00F366A4" w:rsidRPr="000258AC">
        <w:lastRenderedPageBreak/>
        <w:t>state for approximately one hour prior to moving to a new operating condition. Steady-state operating conditions for performance evaluation were identified as periods of greater than 15 min with less than ±1 °C of variation at all four heat exchanger boundaries.</w:t>
      </w:r>
    </w:p>
    <w:p w14:paraId="4BB23D89" w14:textId="77777777" w:rsidR="00217DC3" w:rsidRDefault="00217DC3" w:rsidP="00E663DD">
      <w:pPr>
        <w:pStyle w:val="BodyTextIndent"/>
        <w:tabs>
          <w:tab w:val="left" w:pos="369"/>
        </w:tabs>
        <w:ind w:firstLine="0"/>
      </w:pPr>
    </w:p>
    <w:p w14:paraId="0F62DD61" w14:textId="77777777" w:rsidR="00054262" w:rsidRDefault="00054262" w:rsidP="00054262">
      <w:pPr>
        <w:jc w:val="center"/>
      </w:pPr>
      <w:r>
        <w:rPr>
          <w:noProof/>
        </w:rPr>
        <w:drawing>
          <wp:inline distT="0" distB="0" distL="0" distR="0" wp14:anchorId="7316D6A7" wp14:editId="2AFDF59D">
            <wp:extent cx="2624432" cy="1969416"/>
            <wp:effectExtent l="3492" t="0" r="8573" b="857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643083" cy="1983412"/>
                    </a:xfrm>
                    <a:prstGeom prst="rect">
                      <a:avLst/>
                    </a:prstGeom>
                    <a:noFill/>
                    <a:ln>
                      <a:noFill/>
                    </a:ln>
                  </pic:spPr>
                </pic:pic>
              </a:graphicData>
            </a:graphic>
          </wp:inline>
        </w:drawing>
      </w:r>
    </w:p>
    <w:p w14:paraId="1F22A6BA" w14:textId="2F7FFD15" w:rsidR="00054262" w:rsidRPr="00054262" w:rsidRDefault="00054262" w:rsidP="00054262">
      <w:pPr>
        <w:pStyle w:val="Caption"/>
        <w:rPr>
          <w:kern w:val="0"/>
        </w:rPr>
      </w:pPr>
      <w:bookmarkStart w:id="8" w:name="_Ref61266264"/>
      <w:r w:rsidRPr="0023171F">
        <w:rPr>
          <w:rFonts w:ascii="Arial" w:hAnsi="Arial" w:cs="Arial"/>
          <w:b/>
          <w:bCs/>
          <w:i w:val="0"/>
          <w:iCs w:val="0"/>
          <w:color w:val="auto"/>
          <w:sz w:val="20"/>
          <w:szCs w:val="20"/>
        </w:rPr>
        <w:t xml:space="preserve">Figure </w:t>
      </w:r>
      <w:r w:rsidRPr="0023171F">
        <w:rPr>
          <w:rFonts w:ascii="Arial" w:hAnsi="Arial" w:cs="Arial"/>
          <w:b/>
          <w:bCs/>
          <w:i w:val="0"/>
          <w:iCs w:val="0"/>
          <w:color w:val="auto"/>
          <w:sz w:val="20"/>
          <w:szCs w:val="20"/>
        </w:rPr>
        <w:fldChar w:fldCharType="begin"/>
      </w:r>
      <w:r w:rsidRPr="0023171F">
        <w:rPr>
          <w:rFonts w:ascii="Arial" w:hAnsi="Arial" w:cs="Arial"/>
          <w:b/>
          <w:bCs/>
          <w:i w:val="0"/>
          <w:iCs w:val="0"/>
          <w:color w:val="auto"/>
          <w:sz w:val="20"/>
          <w:szCs w:val="20"/>
        </w:rPr>
        <w:instrText xml:space="preserve"> SEQ Figure \* ARABIC </w:instrText>
      </w:r>
      <w:r w:rsidRPr="0023171F">
        <w:rPr>
          <w:rFonts w:ascii="Arial" w:hAnsi="Arial" w:cs="Arial"/>
          <w:b/>
          <w:bCs/>
          <w:i w:val="0"/>
          <w:iCs w:val="0"/>
          <w:color w:val="auto"/>
          <w:sz w:val="20"/>
          <w:szCs w:val="20"/>
        </w:rPr>
        <w:fldChar w:fldCharType="separate"/>
      </w:r>
      <w:r w:rsidR="009F5293">
        <w:rPr>
          <w:rFonts w:ascii="Arial" w:hAnsi="Arial" w:cs="Arial"/>
          <w:b/>
          <w:bCs/>
          <w:i w:val="0"/>
          <w:iCs w:val="0"/>
          <w:noProof/>
          <w:color w:val="auto"/>
          <w:sz w:val="20"/>
          <w:szCs w:val="20"/>
        </w:rPr>
        <w:t>5</w:t>
      </w:r>
      <w:r w:rsidRPr="0023171F">
        <w:rPr>
          <w:rFonts w:ascii="Arial" w:hAnsi="Arial" w:cs="Arial"/>
          <w:b/>
          <w:bCs/>
          <w:i w:val="0"/>
          <w:iCs w:val="0"/>
          <w:color w:val="auto"/>
          <w:sz w:val="20"/>
          <w:szCs w:val="20"/>
        </w:rPr>
        <w:fldChar w:fldCharType="end"/>
      </w:r>
      <w:bookmarkEnd w:id="8"/>
      <w:r w:rsidRPr="0023171F">
        <w:rPr>
          <w:rFonts w:ascii="Arial" w:hAnsi="Arial" w:cs="Arial"/>
          <w:b/>
          <w:bCs/>
          <w:i w:val="0"/>
          <w:iCs w:val="0"/>
          <w:color w:val="auto"/>
          <w:sz w:val="20"/>
          <w:szCs w:val="20"/>
        </w:rPr>
        <w:t>:</w:t>
      </w:r>
      <w:r w:rsidRPr="0023171F">
        <w:rPr>
          <w:i w:val="0"/>
          <w:iCs w:val="0"/>
          <w:color w:val="auto"/>
        </w:rPr>
        <w:t xml:space="preserve"> </w:t>
      </w:r>
      <w:r w:rsidRPr="00215C68">
        <w:rPr>
          <w:i w:val="0"/>
          <w:iCs w:val="0"/>
          <w:color w:val="auto"/>
        </w:rPr>
        <w:t xml:space="preserve">Photo of 20 </w:t>
      </w:r>
      <w:proofErr w:type="spellStart"/>
      <w:r w:rsidRPr="00215C68">
        <w:rPr>
          <w:i w:val="0"/>
          <w:iCs w:val="0"/>
          <w:color w:val="auto"/>
        </w:rPr>
        <w:t>kW</w:t>
      </w:r>
      <w:r w:rsidRPr="00215C68">
        <w:rPr>
          <w:i w:val="0"/>
          <w:iCs w:val="0"/>
          <w:color w:val="auto"/>
          <w:vertAlign w:val="subscript"/>
        </w:rPr>
        <w:t>t</w:t>
      </w:r>
      <w:proofErr w:type="spellEnd"/>
      <w:r w:rsidRPr="00215C68">
        <w:rPr>
          <w:i w:val="0"/>
          <w:iCs w:val="0"/>
          <w:color w:val="auto"/>
        </w:rPr>
        <w:t xml:space="preserve"> prototype particle-to-sCO</w:t>
      </w:r>
      <w:r w:rsidRPr="00215C68">
        <w:rPr>
          <w:i w:val="0"/>
          <w:iCs w:val="0"/>
          <w:color w:val="auto"/>
          <w:vertAlign w:val="subscript"/>
        </w:rPr>
        <w:t>2</w:t>
      </w:r>
      <w:r w:rsidRPr="00215C68">
        <w:rPr>
          <w:i w:val="0"/>
          <w:iCs w:val="0"/>
          <w:color w:val="auto"/>
        </w:rPr>
        <w:t xml:space="preserve"> heat exchanger core using integral porting and a combination of bonding and brazing to create the “caseless” shell-and-plate geometr</w:t>
      </w:r>
      <w:r>
        <w:rPr>
          <w:i w:val="0"/>
          <w:iCs w:val="0"/>
          <w:color w:val="auto"/>
        </w:rPr>
        <w:t>y</w:t>
      </w:r>
    </w:p>
    <w:p w14:paraId="0E70D3EC" w14:textId="25353795" w:rsidR="00217DC3" w:rsidRDefault="00E663DD" w:rsidP="00E663DD">
      <w:pPr>
        <w:pStyle w:val="BodyTextIndent"/>
        <w:tabs>
          <w:tab w:val="left" w:pos="369"/>
        </w:tabs>
        <w:ind w:firstLine="0"/>
      </w:pPr>
      <w:r w:rsidRPr="000258AC">
        <w:tab/>
      </w:r>
      <w:r w:rsidR="00F366A4" w:rsidRPr="000258AC">
        <w:t>The steady-state measurements of thermal performance for the 20-kW</w:t>
      </w:r>
      <w:r w:rsidR="00F366A4" w:rsidRPr="00217DC3">
        <w:rPr>
          <w:vertAlign w:val="subscript"/>
        </w:rPr>
        <w:t>t</w:t>
      </w:r>
      <w:r w:rsidR="00F366A4" w:rsidRPr="000258AC">
        <w:t xml:space="preserve"> subscale prototype are displayed </w:t>
      </w:r>
      <w:r w:rsidR="00F366A4" w:rsidRPr="00217DC3">
        <w:t xml:space="preserve">in </w:t>
      </w:r>
      <w:r w:rsidR="00217DC3" w:rsidRPr="00217DC3">
        <w:fldChar w:fldCharType="begin"/>
      </w:r>
      <w:r w:rsidR="00217DC3" w:rsidRPr="00217DC3">
        <w:instrText xml:space="preserve"> REF _Ref61267050 \h  \* MERGEFORMAT </w:instrText>
      </w:r>
      <w:r w:rsidR="00217DC3" w:rsidRPr="00217DC3">
        <w:fldChar w:fldCharType="separate"/>
      </w:r>
      <w:r w:rsidR="009F5293" w:rsidRPr="009F5293">
        <w:t xml:space="preserve">Figure </w:t>
      </w:r>
      <w:r w:rsidR="009F5293" w:rsidRPr="009F5293">
        <w:rPr>
          <w:noProof/>
        </w:rPr>
        <w:t>6</w:t>
      </w:r>
      <w:r w:rsidR="00217DC3" w:rsidRPr="00217DC3">
        <w:fldChar w:fldCharType="end"/>
      </w:r>
      <w:r w:rsidR="00F366A4" w:rsidRPr="000258AC">
        <w:t>. The overall heat transfer coefficient is observed to be approximately 300 W/m</w:t>
      </w:r>
      <w:r w:rsidR="00F366A4" w:rsidRPr="00217DC3">
        <w:rPr>
          <w:vertAlign w:val="superscript"/>
        </w:rPr>
        <w:t>2</w:t>
      </w:r>
      <w:r w:rsidR="00F366A4" w:rsidRPr="000258AC">
        <w:t>-K at the intermediate temperature operating conditions (400-600 °C) and displays a slight dependence on particle inlet temperature in the range of 200-400 °C. The measured values of performance were verified through evaluating closure of the heat exchanger energy balance and agreement between upstream and downstream temperature measurements</w:t>
      </w:r>
      <w:r w:rsidR="00217DC3">
        <w:t xml:space="preserve"> in the system</w:t>
      </w:r>
      <w:r w:rsidR="00F366A4" w:rsidRPr="000258AC">
        <w:t xml:space="preserve">. The measured performance for the G3P3 20 </w:t>
      </w:r>
      <w:proofErr w:type="spellStart"/>
      <w:r w:rsidR="00F366A4" w:rsidRPr="000258AC">
        <w:t>kW</w:t>
      </w:r>
      <w:r w:rsidR="00F366A4" w:rsidRPr="000258AC">
        <w:rPr>
          <w:vertAlign w:val="subscript"/>
        </w:rPr>
        <w:t>t</w:t>
      </w:r>
      <w:proofErr w:type="spellEnd"/>
      <w:r w:rsidR="00F366A4" w:rsidRPr="000258AC">
        <w:t xml:space="preserve"> subscale prototype is a large improvement over the performance of the first </w:t>
      </w:r>
      <w:r w:rsidR="00217DC3">
        <w:t>particle/sCO</w:t>
      </w:r>
      <w:r w:rsidR="00217DC3" w:rsidRPr="00217DC3">
        <w:rPr>
          <w:vertAlign w:val="subscript"/>
        </w:rPr>
        <w:t>2</w:t>
      </w:r>
      <w:r w:rsidR="00217DC3">
        <w:t xml:space="preserve"> heat exchanger </w:t>
      </w:r>
      <w:r w:rsidR="00F366A4" w:rsidRPr="000258AC">
        <w:t>prototype developed in a prior project that had overall heat transfer coefficient values of 50-70 W/m</w:t>
      </w:r>
      <w:r w:rsidR="00F366A4" w:rsidRPr="00217DC3">
        <w:rPr>
          <w:vertAlign w:val="superscript"/>
        </w:rPr>
        <w:t>2</w:t>
      </w:r>
      <w:r w:rsidR="00F366A4" w:rsidRPr="000258AC">
        <w:t xml:space="preserve">-K </w:t>
      </w:r>
      <w:sdt>
        <w:sdtPr>
          <w:id w:val="-520246926"/>
          <w:citation/>
        </w:sdtPr>
        <w:sdtEndPr/>
        <w:sdtContent>
          <w:r w:rsidR="00A36DC3">
            <w:fldChar w:fldCharType="begin"/>
          </w:r>
          <w:r w:rsidR="00A36DC3">
            <w:instrText xml:space="preserve"> CITATION Alb192 \l 1033 </w:instrText>
          </w:r>
          <w:r w:rsidR="00A36DC3">
            <w:fldChar w:fldCharType="separate"/>
          </w:r>
          <w:r w:rsidR="00482323">
            <w:rPr>
              <w:noProof/>
            </w:rPr>
            <w:t>[9]</w:t>
          </w:r>
          <w:r w:rsidR="00A36DC3">
            <w:fldChar w:fldCharType="end"/>
          </w:r>
        </w:sdtContent>
      </w:sdt>
      <w:r w:rsidR="00F366A4" w:rsidRPr="000258AC">
        <w:t xml:space="preserve"> and difficulty in measuring the performance due to system integration issues. The observed overall heat transfer coefficient for the 20 </w:t>
      </w:r>
      <w:proofErr w:type="spellStart"/>
      <w:r w:rsidR="00F366A4" w:rsidRPr="000258AC">
        <w:t>kW</w:t>
      </w:r>
      <w:r w:rsidR="00F366A4" w:rsidRPr="000258AC">
        <w:rPr>
          <w:vertAlign w:val="subscript"/>
        </w:rPr>
        <w:t>t</w:t>
      </w:r>
      <w:proofErr w:type="spellEnd"/>
      <w:r w:rsidR="00F366A4" w:rsidRPr="000258AC">
        <w:t xml:space="preserve"> prototype is between a factor of 4-6 times better than any other known particle to sCO</w:t>
      </w:r>
      <w:r w:rsidR="00F366A4" w:rsidRPr="000258AC">
        <w:rPr>
          <w:vertAlign w:val="subscript"/>
        </w:rPr>
        <w:t>2</w:t>
      </w:r>
      <w:r w:rsidR="00F366A4" w:rsidRPr="000258AC">
        <w:t xml:space="preserve"> heat exchanger.</w:t>
      </w:r>
    </w:p>
    <w:p w14:paraId="7C526733" w14:textId="5CBE0EA2" w:rsidR="008637C2" w:rsidRPr="000258AC" w:rsidRDefault="00217DC3" w:rsidP="00E663DD">
      <w:pPr>
        <w:pStyle w:val="BodyTextIndent"/>
        <w:tabs>
          <w:tab w:val="left" w:pos="369"/>
        </w:tabs>
        <w:ind w:firstLine="0"/>
      </w:pPr>
      <w:r>
        <w:tab/>
      </w:r>
      <w:r w:rsidR="00F366A4" w:rsidRPr="000258AC">
        <w:t>Pressure</w:t>
      </w:r>
      <w:r w:rsidR="00F366A4" w:rsidRPr="00217DC3">
        <w:t xml:space="preserve"> drop (</w:t>
      </w:r>
      <w:r w:rsidRPr="00217DC3">
        <w:fldChar w:fldCharType="begin"/>
      </w:r>
      <w:r w:rsidRPr="00217DC3">
        <w:instrText xml:space="preserve"> REF _Ref61267116 \h  \* MERGEFORMAT </w:instrText>
      </w:r>
      <w:r w:rsidRPr="00217DC3">
        <w:fldChar w:fldCharType="separate"/>
      </w:r>
      <w:r w:rsidR="009F5293" w:rsidRPr="009F5293">
        <w:t xml:space="preserve">Figure </w:t>
      </w:r>
      <w:r w:rsidR="009F5293" w:rsidRPr="009F5293">
        <w:rPr>
          <w:noProof/>
        </w:rPr>
        <w:t>7</w:t>
      </w:r>
      <w:r w:rsidRPr="00217DC3">
        <w:fldChar w:fldCharType="end"/>
      </w:r>
      <w:r w:rsidR="00F366A4" w:rsidRPr="00217DC3">
        <w:t>)</w:t>
      </w:r>
      <w:r w:rsidR="00F366A4" w:rsidRPr="000258AC">
        <w:t xml:space="preserve"> was measured from inlet to outlet of the heat exchanger and observed to be less than 7 kPa (0.04%) at the design point conditions which is </w:t>
      </w:r>
      <w:r w:rsidRPr="000258AC">
        <w:t>in line</w:t>
      </w:r>
      <w:r w:rsidR="00F366A4" w:rsidRPr="000258AC">
        <w:t xml:space="preserve"> with CFD modeling results and builds confidence in </w:t>
      </w:r>
      <w:r>
        <w:t>future large scale heat exchangers meeting pressure drop requirements</w:t>
      </w:r>
      <w:r w:rsidR="00F366A4" w:rsidRPr="000258AC">
        <w:t xml:space="preserve">. The measured pressure drop of the 20 </w:t>
      </w:r>
      <w:proofErr w:type="spellStart"/>
      <w:r w:rsidR="00F366A4" w:rsidRPr="000258AC">
        <w:t>kW</w:t>
      </w:r>
      <w:r w:rsidR="00F366A4" w:rsidRPr="000258AC">
        <w:rPr>
          <w:vertAlign w:val="subscript"/>
        </w:rPr>
        <w:t>t</w:t>
      </w:r>
      <w:proofErr w:type="spellEnd"/>
      <w:r w:rsidR="00F366A4" w:rsidRPr="000258AC">
        <w:t xml:space="preserve"> prototype was expected to be substantially lower than the </w:t>
      </w:r>
      <w:r>
        <w:t>1-</w:t>
      </w:r>
      <w:r w:rsidR="00F366A4" w:rsidRPr="000258AC">
        <w:t xml:space="preserve">2% target </w:t>
      </w:r>
      <w:r>
        <w:t xml:space="preserve">for a primary power cycle heat exchanger </w:t>
      </w:r>
      <w:r w:rsidR="00F366A4" w:rsidRPr="000258AC">
        <w:t>due to a combination of the intermediate temperature sCO</w:t>
      </w:r>
      <w:r w:rsidR="00F366A4" w:rsidRPr="000258AC">
        <w:rPr>
          <w:vertAlign w:val="subscript"/>
        </w:rPr>
        <w:t>2</w:t>
      </w:r>
      <w:r w:rsidR="00F366A4" w:rsidRPr="000258AC">
        <w:t xml:space="preserve"> properties (lower viscosity and higher density), larger channel dimensions because the allowable stress </w:t>
      </w:r>
      <w:r w:rsidR="00F366A4" w:rsidRPr="000258AC">
        <w:t>of stainless steel (105 MPa) at 550 °C is more than triple the value of IN617 (30 MPa) at 800 °C, and the small plate dimensions resulting in shorter flow path lengths. Overall, the measured performance and operation of the 20-kW</w:t>
      </w:r>
      <w:r w:rsidR="00F366A4" w:rsidRPr="000258AC">
        <w:rPr>
          <w:vertAlign w:val="subscript"/>
        </w:rPr>
        <w:t>t</w:t>
      </w:r>
      <w:r w:rsidR="00F366A4" w:rsidRPr="000258AC">
        <w:t xml:space="preserve"> subscale prototype provides confidence in </w:t>
      </w:r>
      <w:r>
        <w:t>moving packed-bed heat exchanger technology progressing toward meeting the needs of a particle-based CSP system.</w:t>
      </w:r>
    </w:p>
    <w:p w14:paraId="4E8781A1" w14:textId="6330A519" w:rsidR="008637C2" w:rsidRDefault="008637C2" w:rsidP="008637C2">
      <w:pPr>
        <w:pStyle w:val="BodyTextIndent"/>
        <w:ind w:firstLine="0"/>
        <w:rPr>
          <w:kern w:val="0"/>
        </w:rPr>
      </w:pPr>
      <w:r>
        <w:rPr>
          <w:noProof/>
        </w:rPr>
        <w:drawing>
          <wp:inline distT="0" distB="0" distL="0" distR="0" wp14:anchorId="644308B9" wp14:editId="47E6EB0C">
            <wp:extent cx="3257550" cy="2301901"/>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7550" cy="2301901"/>
                    </a:xfrm>
                    <a:prstGeom prst="rect">
                      <a:avLst/>
                    </a:prstGeom>
                    <a:noFill/>
                    <a:ln>
                      <a:noFill/>
                    </a:ln>
                  </pic:spPr>
                </pic:pic>
              </a:graphicData>
            </a:graphic>
          </wp:inline>
        </w:drawing>
      </w:r>
    </w:p>
    <w:p w14:paraId="5C3A8FEA" w14:textId="101E1AB5" w:rsidR="0004163F" w:rsidRDefault="0004163F" w:rsidP="0004163F">
      <w:pPr>
        <w:pStyle w:val="Caption"/>
        <w:rPr>
          <w:kern w:val="0"/>
        </w:rPr>
      </w:pPr>
      <w:bookmarkStart w:id="9" w:name="_Ref61267050"/>
      <w:r w:rsidRPr="0023171F">
        <w:rPr>
          <w:rFonts w:ascii="Arial" w:hAnsi="Arial" w:cs="Arial"/>
          <w:b/>
          <w:bCs/>
          <w:i w:val="0"/>
          <w:iCs w:val="0"/>
          <w:color w:val="auto"/>
          <w:sz w:val="20"/>
          <w:szCs w:val="20"/>
        </w:rPr>
        <w:t xml:space="preserve">Figure </w:t>
      </w:r>
      <w:r w:rsidRPr="0023171F">
        <w:rPr>
          <w:rFonts w:ascii="Arial" w:hAnsi="Arial" w:cs="Arial"/>
          <w:b/>
          <w:bCs/>
          <w:i w:val="0"/>
          <w:iCs w:val="0"/>
          <w:color w:val="auto"/>
          <w:sz w:val="20"/>
          <w:szCs w:val="20"/>
        </w:rPr>
        <w:fldChar w:fldCharType="begin"/>
      </w:r>
      <w:r w:rsidRPr="0023171F">
        <w:rPr>
          <w:rFonts w:ascii="Arial" w:hAnsi="Arial" w:cs="Arial"/>
          <w:b/>
          <w:bCs/>
          <w:i w:val="0"/>
          <w:iCs w:val="0"/>
          <w:color w:val="auto"/>
          <w:sz w:val="20"/>
          <w:szCs w:val="20"/>
        </w:rPr>
        <w:instrText xml:space="preserve"> SEQ Figure \* ARABIC </w:instrText>
      </w:r>
      <w:r w:rsidRPr="0023171F">
        <w:rPr>
          <w:rFonts w:ascii="Arial" w:hAnsi="Arial" w:cs="Arial"/>
          <w:b/>
          <w:bCs/>
          <w:i w:val="0"/>
          <w:iCs w:val="0"/>
          <w:color w:val="auto"/>
          <w:sz w:val="20"/>
          <w:szCs w:val="20"/>
        </w:rPr>
        <w:fldChar w:fldCharType="separate"/>
      </w:r>
      <w:r w:rsidR="009F5293">
        <w:rPr>
          <w:rFonts w:ascii="Arial" w:hAnsi="Arial" w:cs="Arial"/>
          <w:b/>
          <w:bCs/>
          <w:i w:val="0"/>
          <w:iCs w:val="0"/>
          <w:noProof/>
          <w:color w:val="auto"/>
          <w:sz w:val="20"/>
          <w:szCs w:val="20"/>
        </w:rPr>
        <w:t>6</w:t>
      </w:r>
      <w:r w:rsidRPr="0023171F">
        <w:rPr>
          <w:rFonts w:ascii="Arial" w:hAnsi="Arial" w:cs="Arial"/>
          <w:b/>
          <w:bCs/>
          <w:i w:val="0"/>
          <w:iCs w:val="0"/>
          <w:color w:val="auto"/>
          <w:sz w:val="20"/>
          <w:szCs w:val="20"/>
        </w:rPr>
        <w:fldChar w:fldCharType="end"/>
      </w:r>
      <w:bookmarkEnd w:id="9"/>
      <w:r w:rsidRPr="0023171F">
        <w:rPr>
          <w:rFonts w:ascii="Arial" w:hAnsi="Arial" w:cs="Arial"/>
          <w:b/>
          <w:bCs/>
          <w:i w:val="0"/>
          <w:iCs w:val="0"/>
          <w:color w:val="auto"/>
          <w:sz w:val="20"/>
          <w:szCs w:val="20"/>
        </w:rPr>
        <w:t>:</w:t>
      </w:r>
      <w:r w:rsidRPr="0023171F">
        <w:rPr>
          <w:i w:val="0"/>
          <w:iCs w:val="0"/>
          <w:color w:val="auto"/>
        </w:rPr>
        <w:t xml:space="preserve"> </w:t>
      </w:r>
      <w:r w:rsidRPr="0004163F">
        <w:rPr>
          <w:i w:val="0"/>
          <w:iCs w:val="0"/>
          <w:color w:val="auto"/>
        </w:rPr>
        <w:t>Steady-state measurements of overall heat transfer coefficient of the 20-kW</w:t>
      </w:r>
      <w:r w:rsidRPr="0004163F">
        <w:rPr>
          <w:i w:val="0"/>
          <w:iCs w:val="0"/>
          <w:color w:val="auto"/>
          <w:vertAlign w:val="subscript"/>
        </w:rPr>
        <w:t>t</w:t>
      </w:r>
      <w:r w:rsidRPr="0004163F">
        <w:rPr>
          <w:i w:val="0"/>
          <w:iCs w:val="0"/>
          <w:color w:val="auto"/>
        </w:rPr>
        <w:t xml:space="preserve"> subscale prototype particle/sCO</w:t>
      </w:r>
      <w:r w:rsidRPr="0004163F">
        <w:rPr>
          <w:i w:val="0"/>
          <w:iCs w:val="0"/>
          <w:color w:val="auto"/>
          <w:vertAlign w:val="subscript"/>
        </w:rPr>
        <w:t>2</w:t>
      </w:r>
      <w:r w:rsidRPr="0004163F">
        <w:rPr>
          <w:i w:val="0"/>
          <w:iCs w:val="0"/>
          <w:color w:val="auto"/>
        </w:rPr>
        <w:t xml:space="preserve"> heat exchanger at various particle inlet temperature</w:t>
      </w:r>
    </w:p>
    <w:p w14:paraId="415C97A8" w14:textId="70B32A6C" w:rsidR="008637C2" w:rsidRDefault="008637C2" w:rsidP="008637C2">
      <w:pPr>
        <w:pStyle w:val="BodyTextIndent"/>
        <w:ind w:firstLine="0"/>
        <w:rPr>
          <w:kern w:val="0"/>
        </w:rPr>
      </w:pPr>
      <w:r>
        <w:rPr>
          <w:noProof/>
        </w:rPr>
        <w:drawing>
          <wp:inline distT="0" distB="0" distL="0" distR="0" wp14:anchorId="6A4C3D28" wp14:editId="3058AD50">
            <wp:extent cx="3257550" cy="2352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7550" cy="2352675"/>
                    </a:xfrm>
                    <a:prstGeom prst="rect">
                      <a:avLst/>
                    </a:prstGeom>
                    <a:noFill/>
                    <a:ln>
                      <a:noFill/>
                    </a:ln>
                  </pic:spPr>
                </pic:pic>
              </a:graphicData>
            </a:graphic>
          </wp:inline>
        </w:drawing>
      </w:r>
    </w:p>
    <w:p w14:paraId="246F5D6F" w14:textId="06CE6788" w:rsidR="0004163F" w:rsidRDefault="0004163F" w:rsidP="0004163F">
      <w:pPr>
        <w:pStyle w:val="Caption"/>
        <w:rPr>
          <w:i w:val="0"/>
          <w:iCs w:val="0"/>
          <w:color w:val="auto"/>
        </w:rPr>
      </w:pPr>
      <w:bookmarkStart w:id="10" w:name="_Ref61267116"/>
      <w:r w:rsidRPr="0023171F">
        <w:rPr>
          <w:rFonts w:ascii="Arial" w:hAnsi="Arial" w:cs="Arial"/>
          <w:b/>
          <w:bCs/>
          <w:i w:val="0"/>
          <w:iCs w:val="0"/>
          <w:color w:val="auto"/>
          <w:sz w:val="20"/>
          <w:szCs w:val="20"/>
        </w:rPr>
        <w:t xml:space="preserve">Figure </w:t>
      </w:r>
      <w:r w:rsidRPr="0023171F">
        <w:rPr>
          <w:rFonts w:ascii="Arial" w:hAnsi="Arial" w:cs="Arial"/>
          <w:b/>
          <w:bCs/>
          <w:i w:val="0"/>
          <w:iCs w:val="0"/>
          <w:color w:val="auto"/>
          <w:sz w:val="20"/>
          <w:szCs w:val="20"/>
        </w:rPr>
        <w:fldChar w:fldCharType="begin"/>
      </w:r>
      <w:r w:rsidRPr="0023171F">
        <w:rPr>
          <w:rFonts w:ascii="Arial" w:hAnsi="Arial" w:cs="Arial"/>
          <w:b/>
          <w:bCs/>
          <w:i w:val="0"/>
          <w:iCs w:val="0"/>
          <w:color w:val="auto"/>
          <w:sz w:val="20"/>
          <w:szCs w:val="20"/>
        </w:rPr>
        <w:instrText xml:space="preserve"> SEQ Figure \* ARABIC </w:instrText>
      </w:r>
      <w:r w:rsidRPr="0023171F">
        <w:rPr>
          <w:rFonts w:ascii="Arial" w:hAnsi="Arial" w:cs="Arial"/>
          <w:b/>
          <w:bCs/>
          <w:i w:val="0"/>
          <w:iCs w:val="0"/>
          <w:color w:val="auto"/>
          <w:sz w:val="20"/>
          <w:szCs w:val="20"/>
        </w:rPr>
        <w:fldChar w:fldCharType="separate"/>
      </w:r>
      <w:r w:rsidR="009F5293">
        <w:rPr>
          <w:rFonts w:ascii="Arial" w:hAnsi="Arial" w:cs="Arial"/>
          <w:b/>
          <w:bCs/>
          <w:i w:val="0"/>
          <w:iCs w:val="0"/>
          <w:noProof/>
          <w:color w:val="auto"/>
          <w:sz w:val="20"/>
          <w:szCs w:val="20"/>
        </w:rPr>
        <w:t>7</w:t>
      </w:r>
      <w:r w:rsidRPr="0023171F">
        <w:rPr>
          <w:rFonts w:ascii="Arial" w:hAnsi="Arial" w:cs="Arial"/>
          <w:b/>
          <w:bCs/>
          <w:i w:val="0"/>
          <w:iCs w:val="0"/>
          <w:color w:val="auto"/>
          <w:sz w:val="20"/>
          <w:szCs w:val="20"/>
        </w:rPr>
        <w:fldChar w:fldCharType="end"/>
      </w:r>
      <w:bookmarkEnd w:id="10"/>
      <w:r w:rsidRPr="0023171F">
        <w:rPr>
          <w:rFonts w:ascii="Arial" w:hAnsi="Arial" w:cs="Arial"/>
          <w:b/>
          <w:bCs/>
          <w:i w:val="0"/>
          <w:iCs w:val="0"/>
          <w:color w:val="auto"/>
          <w:sz w:val="20"/>
          <w:szCs w:val="20"/>
        </w:rPr>
        <w:t>:</w:t>
      </w:r>
      <w:r w:rsidRPr="0023171F">
        <w:rPr>
          <w:i w:val="0"/>
          <w:iCs w:val="0"/>
          <w:color w:val="auto"/>
        </w:rPr>
        <w:t xml:space="preserve"> </w:t>
      </w:r>
      <w:r w:rsidRPr="0004163F">
        <w:rPr>
          <w:i w:val="0"/>
          <w:iCs w:val="0"/>
          <w:color w:val="auto"/>
        </w:rPr>
        <w:t>Steady-state measurements of pressure drop over the entire 20-kW</w:t>
      </w:r>
      <w:r w:rsidRPr="0000101F">
        <w:rPr>
          <w:i w:val="0"/>
          <w:iCs w:val="0"/>
          <w:color w:val="auto"/>
          <w:vertAlign w:val="subscript"/>
        </w:rPr>
        <w:t>t</w:t>
      </w:r>
      <w:r w:rsidRPr="0004163F">
        <w:rPr>
          <w:i w:val="0"/>
          <w:iCs w:val="0"/>
          <w:color w:val="auto"/>
        </w:rPr>
        <w:t xml:space="preserve"> subscale prototype particle/sCO</w:t>
      </w:r>
      <w:r w:rsidRPr="0000101F">
        <w:rPr>
          <w:i w:val="0"/>
          <w:iCs w:val="0"/>
          <w:color w:val="auto"/>
          <w:vertAlign w:val="subscript"/>
        </w:rPr>
        <w:t>2</w:t>
      </w:r>
      <w:r w:rsidRPr="0004163F">
        <w:rPr>
          <w:i w:val="0"/>
          <w:iCs w:val="0"/>
          <w:color w:val="auto"/>
        </w:rPr>
        <w:t xml:space="preserve"> heat exchanger at sCO</w:t>
      </w:r>
      <w:r w:rsidRPr="0000101F">
        <w:rPr>
          <w:i w:val="0"/>
          <w:iCs w:val="0"/>
          <w:color w:val="auto"/>
          <w:vertAlign w:val="subscript"/>
        </w:rPr>
        <w:t>2</w:t>
      </w:r>
      <w:r w:rsidRPr="0004163F">
        <w:rPr>
          <w:i w:val="0"/>
          <w:iCs w:val="0"/>
          <w:color w:val="auto"/>
        </w:rPr>
        <w:t xml:space="preserve"> design flow rate (~0.1 kg/s)</w:t>
      </w:r>
    </w:p>
    <w:p w14:paraId="5A1D8ED5" w14:textId="77777777" w:rsidR="00374551" w:rsidRDefault="001B6435" w:rsidP="001B6435">
      <w:pPr>
        <w:pStyle w:val="BodyTextIndent"/>
        <w:numPr>
          <w:ilvl w:val="0"/>
          <w:numId w:val="3"/>
        </w:numPr>
        <w:ind w:left="360"/>
        <w:jc w:val="left"/>
        <w:rPr>
          <w:rFonts w:ascii="Arial" w:hAnsi="Arial" w:cs="Arial"/>
          <w:b/>
          <w:kern w:val="0"/>
        </w:rPr>
      </w:pPr>
      <w:r w:rsidRPr="001B6435">
        <w:rPr>
          <w:rFonts w:ascii="Arial" w:hAnsi="Arial" w:cs="Arial"/>
          <w:b/>
          <w:kern w:val="0"/>
        </w:rPr>
        <w:t>CONCLUSION</w:t>
      </w:r>
    </w:p>
    <w:p w14:paraId="25AF78DC" w14:textId="0D7F0AB8" w:rsidR="001B6435" w:rsidRDefault="000258AC" w:rsidP="000258AC">
      <w:pPr>
        <w:pStyle w:val="BodyTextIndent"/>
        <w:tabs>
          <w:tab w:val="left" w:pos="360"/>
        </w:tabs>
        <w:ind w:firstLine="0"/>
        <w:jc w:val="left"/>
        <w:rPr>
          <w:kern w:val="0"/>
        </w:rPr>
      </w:pPr>
      <w:r>
        <w:rPr>
          <w:kern w:val="0"/>
        </w:rPr>
        <w:tab/>
        <w:t>A small-scale heat exchanger test facility was developed with the purpose of rapidly evaluating prototype heat exchanger performance</w:t>
      </w:r>
      <w:r w:rsidR="000C255E">
        <w:rPr>
          <w:kern w:val="0"/>
        </w:rPr>
        <w:t xml:space="preserve"> at temperatures up to 600 °C</w:t>
      </w:r>
      <w:r>
        <w:rPr>
          <w:kern w:val="0"/>
        </w:rPr>
        <w:t>.</w:t>
      </w:r>
      <w:r w:rsidR="000C255E">
        <w:rPr>
          <w:kern w:val="0"/>
        </w:rPr>
        <w:t xml:space="preserve"> The test facility was used to evaluate a novel 20 </w:t>
      </w:r>
      <w:proofErr w:type="spellStart"/>
      <w:r w:rsidR="000C255E">
        <w:rPr>
          <w:kern w:val="0"/>
        </w:rPr>
        <w:t>kW</w:t>
      </w:r>
      <w:r w:rsidR="000C255E" w:rsidRPr="000C255E">
        <w:rPr>
          <w:kern w:val="0"/>
          <w:vertAlign w:val="subscript"/>
        </w:rPr>
        <w:t>t</w:t>
      </w:r>
      <w:proofErr w:type="spellEnd"/>
      <w:r w:rsidR="000C255E">
        <w:rPr>
          <w:kern w:val="0"/>
        </w:rPr>
        <w:t xml:space="preserve"> prototype that demonstrated overall heat transfer coefficients up to 300 W/m</w:t>
      </w:r>
      <w:r w:rsidR="000C255E" w:rsidRPr="000C255E">
        <w:rPr>
          <w:kern w:val="0"/>
          <w:vertAlign w:val="superscript"/>
        </w:rPr>
        <w:t>2</w:t>
      </w:r>
      <w:r w:rsidR="000C255E">
        <w:rPr>
          <w:kern w:val="0"/>
        </w:rPr>
        <w:t>-K</w:t>
      </w:r>
      <w:r w:rsidR="00217DC3">
        <w:rPr>
          <w:kern w:val="0"/>
        </w:rPr>
        <w:t xml:space="preserve"> and </w:t>
      </w:r>
      <w:r w:rsidR="009349E8">
        <w:rPr>
          <w:kern w:val="0"/>
        </w:rPr>
        <w:t>pressure drop well below the targets of commercial system. The test facility will serve as a future platform for iterating on heat exchanger designs and producing important data for technology development.</w:t>
      </w:r>
    </w:p>
    <w:p w14:paraId="75B3F2FA" w14:textId="77777777" w:rsidR="000258AC" w:rsidRPr="000258AC" w:rsidRDefault="000258AC" w:rsidP="000258AC">
      <w:pPr>
        <w:pStyle w:val="BodyTextIndent"/>
        <w:tabs>
          <w:tab w:val="left" w:pos="360"/>
        </w:tabs>
        <w:ind w:firstLine="0"/>
        <w:jc w:val="left"/>
        <w:rPr>
          <w:kern w:val="0"/>
        </w:rPr>
      </w:pPr>
    </w:p>
    <w:p w14:paraId="57BC6590" w14:textId="77777777" w:rsidR="001B6435" w:rsidRPr="0012344E" w:rsidRDefault="001B6435" w:rsidP="001B6435">
      <w:pPr>
        <w:pStyle w:val="BodyTextIndent"/>
        <w:ind w:firstLine="0"/>
        <w:jc w:val="left"/>
        <w:rPr>
          <w:rFonts w:ascii="Arial" w:hAnsi="Arial" w:cs="Arial"/>
          <w:b/>
          <w:kern w:val="0"/>
        </w:rPr>
      </w:pPr>
      <w:r>
        <w:rPr>
          <w:rFonts w:ascii="Arial" w:hAnsi="Arial" w:cs="Arial"/>
          <w:b/>
          <w:kern w:val="0"/>
        </w:rPr>
        <w:t>ACKNOWLEDGEMENTS</w:t>
      </w:r>
    </w:p>
    <w:p w14:paraId="7B29DE3E" w14:textId="6962FED0" w:rsidR="007C0ADB" w:rsidRDefault="007C0ADB" w:rsidP="001B6435">
      <w:pPr>
        <w:pStyle w:val="BodyTextIndent"/>
        <w:rPr>
          <w:kern w:val="0"/>
        </w:rPr>
      </w:pPr>
      <w:r>
        <w:rPr>
          <w:kern w:val="0"/>
        </w:rPr>
        <w:t xml:space="preserve">The authors would like to acknowledge the contributions of Vacuum Processing Engineering and </w:t>
      </w:r>
      <w:proofErr w:type="spellStart"/>
      <w:r>
        <w:rPr>
          <w:kern w:val="0"/>
        </w:rPr>
        <w:t>Solex</w:t>
      </w:r>
      <w:proofErr w:type="spellEnd"/>
      <w:r>
        <w:rPr>
          <w:kern w:val="0"/>
        </w:rPr>
        <w:t xml:space="preserve"> Thermal Science on the 20-kW</w:t>
      </w:r>
      <w:r w:rsidRPr="007C0ADB">
        <w:rPr>
          <w:kern w:val="0"/>
          <w:vertAlign w:val="subscript"/>
        </w:rPr>
        <w:t>t</w:t>
      </w:r>
      <w:r>
        <w:rPr>
          <w:kern w:val="0"/>
        </w:rPr>
        <w:t xml:space="preserve"> heat exchanger design and manufacturing. </w:t>
      </w:r>
    </w:p>
    <w:p w14:paraId="20D44ACF" w14:textId="77777777" w:rsidR="00127871" w:rsidRDefault="008B25D0" w:rsidP="001B6435">
      <w:pPr>
        <w:pStyle w:val="BodyTextIndent"/>
      </w:pPr>
      <w:r w:rsidRPr="008B25D0">
        <w:rPr>
          <w:kern w:val="0"/>
        </w:rPr>
        <w:t xml:space="preserve">This work was funded in part or whole by the U.S. Department of Energy Solar Energy Technologies Office under Award Number 34211 and 34152. </w:t>
      </w:r>
      <w:r w:rsidR="00127871" w:rsidRPr="00DF39C0">
        <w:t>This report was prepared as an account of work sponsored by an 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References herein to any specific commercial product, process, or service by trade name, trademark, manufacturer, or otherwise does not necessarily constitute or imply its endorsement, recommendation, or favoring by the United States Government or any agency thereof.  The views and opinions of the authors expressed herein do not necessarily state or reflect those of the United States Government or any agency thereof.</w:t>
      </w:r>
    </w:p>
    <w:p w14:paraId="719136C0" w14:textId="308E7AAA" w:rsidR="008B61D2" w:rsidRDefault="008B25D0" w:rsidP="001B6435">
      <w:pPr>
        <w:pStyle w:val="BodyTextIndent"/>
        <w:rPr>
          <w:rFonts w:ascii="Arial" w:hAnsi="Arial" w:cs="Arial"/>
          <w:b/>
          <w:kern w:val="0"/>
        </w:rPr>
      </w:pPr>
      <w:r w:rsidRPr="008B25D0">
        <w:rPr>
          <w:kern w:val="0"/>
        </w:rPr>
        <w:t xml:space="preserve">Sandia National Laboratories is a </w:t>
      </w:r>
      <w:proofErr w:type="spellStart"/>
      <w:r w:rsidRPr="008B25D0">
        <w:rPr>
          <w:kern w:val="0"/>
        </w:rPr>
        <w:t>multimission</w:t>
      </w:r>
      <w:proofErr w:type="spellEnd"/>
      <w:r w:rsidRPr="008B25D0">
        <w:rPr>
          <w:kern w:val="0"/>
        </w:rPr>
        <w:t xml:space="preserve"> laboratory managed and operated by National Technology &amp; Engineering Solutions of Sandia, LLC, a wholly owned subsidiary of Honeywell International Inc., for the U.S. Department of Energy’s National Nuclear Security Administration under contract DE-NA0003525.</w:t>
      </w:r>
      <w:r w:rsidR="00374551">
        <w:rPr>
          <w:kern w:val="0"/>
          <w:sz w:val="22"/>
          <w:szCs w:val="22"/>
        </w:rPr>
        <w:br/>
      </w:r>
      <w:r w:rsidR="00374551">
        <w:rPr>
          <w:kern w:val="0"/>
          <w:sz w:val="22"/>
          <w:szCs w:val="22"/>
        </w:rPr>
        <w:br/>
      </w:r>
      <w:r w:rsidR="00374551" w:rsidRPr="0012344E">
        <w:rPr>
          <w:rFonts w:ascii="Arial" w:hAnsi="Arial" w:cs="Arial"/>
          <w:b/>
          <w:kern w:val="0"/>
        </w:rPr>
        <w:t>REFERENCE</w:t>
      </w:r>
      <w:r w:rsidR="00054262">
        <w:rPr>
          <w:rFonts w:ascii="Arial" w:hAnsi="Arial" w:cs="Arial"/>
          <w:b/>
          <w:kern w:val="0"/>
        </w:rPr>
        <w:t>S</w:t>
      </w:r>
    </w:p>
    <w:sdt>
      <w:sdtPr>
        <w:id w:val="-446540192"/>
        <w:docPartObj>
          <w:docPartGallery w:val="Bibliographies"/>
          <w:docPartUnique/>
        </w:docPartObj>
      </w:sdtPr>
      <w:sdtEndPr/>
      <w:sdtContent>
        <w:sdt>
          <w:sdtPr>
            <w:id w:val="-573587230"/>
            <w:bibliography/>
          </w:sdtPr>
          <w:sdtEndPr/>
          <w:sdtContent>
            <w:p w14:paraId="02FB044C" w14:textId="77777777" w:rsidR="00482323" w:rsidRDefault="00BD6416">
              <w:pPr>
                <w:rPr>
                  <w:noProof/>
                  <w:kern w:val="0"/>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4721"/>
              </w:tblGrid>
              <w:tr w:rsidR="00482323" w14:paraId="1B120E6C" w14:textId="77777777">
                <w:trPr>
                  <w:divId w:val="2066683347"/>
                  <w:tblCellSpacing w:w="15" w:type="dxa"/>
                </w:trPr>
                <w:tc>
                  <w:tcPr>
                    <w:tcW w:w="50" w:type="pct"/>
                    <w:hideMark/>
                  </w:tcPr>
                  <w:p w14:paraId="41B893A6" w14:textId="2BD0C3F9" w:rsidR="00482323" w:rsidRDefault="00482323">
                    <w:pPr>
                      <w:pStyle w:val="Bibliography"/>
                      <w:rPr>
                        <w:noProof/>
                        <w:sz w:val="24"/>
                        <w:szCs w:val="24"/>
                      </w:rPr>
                    </w:pPr>
                    <w:r>
                      <w:rPr>
                        <w:noProof/>
                      </w:rPr>
                      <w:t xml:space="preserve">[1] </w:t>
                    </w:r>
                  </w:p>
                </w:tc>
                <w:tc>
                  <w:tcPr>
                    <w:tcW w:w="0" w:type="auto"/>
                    <w:hideMark/>
                  </w:tcPr>
                  <w:p w14:paraId="61051561" w14:textId="77777777" w:rsidR="00482323" w:rsidRDefault="00482323">
                    <w:pPr>
                      <w:pStyle w:val="Bibliography"/>
                      <w:rPr>
                        <w:noProof/>
                      </w:rPr>
                    </w:pPr>
                    <w:r>
                      <w:rPr>
                        <w:noProof/>
                      </w:rPr>
                      <w:t>M. Mehos, C. Turchi, J. Vidal, M. Wagner, Z. Ma, C. Ho, W. Kolb, C. Andraka and A. Kruizenga, "Concentrating Solar Power Gen3 Demonstration Roadmap," National Renewable Energy Laboratory, Golden, 2017.</w:t>
                    </w:r>
                  </w:p>
                </w:tc>
              </w:tr>
              <w:tr w:rsidR="00482323" w14:paraId="04562BFA" w14:textId="77777777">
                <w:trPr>
                  <w:divId w:val="2066683347"/>
                  <w:tblCellSpacing w:w="15" w:type="dxa"/>
                </w:trPr>
                <w:tc>
                  <w:tcPr>
                    <w:tcW w:w="50" w:type="pct"/>
                    <w:hideMark/>
                  </w:tcPr>
                  <w:p w14:paraId="1EBFF318" w14:textId="77777777" w:rsidR="00482323" w:rsidRDefault="00482323">
                    <w:pPr>
                      <w:pStyle w:val="Bibliography"/>
                      <w:rPr>
                        <w:noProof/>
                      </w:rPr>
                    </w:pPr>
                    <w:r>
                      <w:rPr>
                        <w:noProof/>
                      </w:rPr>
                      <w:t xml:space="preserve">[2] </w:t>
                    </w:r>
                  </w:p>
                </w:tc>
                <w:tc>
                  <w:tcPr>
                    <w:tcW w:w="0" w:type="auto"/>
                    <w:hideMark/>
                  </w:tcPr>
                  <w:p w14:paraId="44DD997D" w14:textId="77777777" w:rsidR="00482323" w:rsidRDefault="00482323">
                    <w:pPr>
                      <w:pStyle w:val="Bibliography"/>
                      <w:rPr>
                        <w:noProof/>
                      </w:rPr>
                    </w:pPr>
                    <w:r>
                      <w:rPr>
                        <w:noProof/>
                      </w:rPr>
                      <w:t xml:space="preserve">K. J. Albrecht, M. L. Bauer and C. K. Ho, "Parametric Analysis of Particle CSP System Performance and Cost to Intrinsic particle Properties and Operating Conditions," in </w:t>
                    </w:r>
                    <w:r>
                      <w:rPr>
                        <w:i/>
                        <w:iCs/>
                        <w:noProof/>
                      </w:rPr>
                      <w:t>ASME 2019 13th International Conference on Energy Sustainability</w:t>
                    </w:r>
                    <w:r>
                      <w:rPr>
                        <w:noProof/>
                      </w:rPr>
                      <w:t xml:space="preserve">, Bellevue, 2019. </w:t>
                    </w:r>
                  </w:p>
                </w:tc>
              </w:tr>
              <w:tr w:rsidR="00482323" w14:paraId="5B794383" w14:textId="77777777">
                <w:trPr>
                  <w:divId w:val="2066683347"/>
                  <w:tblCellSpacing w:w="15" w:type="dxa"/>
                </w:trPr>
                <w:tc>
                  <w:tcPr>
                    <w:tcW w:w="50" w:type="pct"/>
                    <w:hideMark/>
                  </w:tcPr>
                  <w:p w14:paraId="78E1C7F2" w14:textId="77777777" w:rsidR="00482323" w:rsidRDefault="00482323">
                    <w:pPr>
                      <w:pStyle w:val="Bibliography"/>
                      <w:rPr>
                        <w:noProof/>
                      </w:rPr>
                    </w:pPr>
                    <w:r>
                      <w:rPr>
                        <w:noProof/>
                      </w:rPr>
                      <w:t xml:space="preserve">[3] </w:t>
                    </w:r>
                  </w:p>
                </w:tc>
                <w:tc>
                  <w:tcPr>
                    <w:tcW w:w="0" w:type="auto"/>
                    <w:hideMark/>
                  </w:tcPr>
                  <w:p w14:paraId="08C07C9D" w14:textId="77777777" w:rsidR="00482323" w:rsidRDefault="00482323">
                    <w:pPr>
                      <w:pStyle w:val="Bibliography"/>
                      <w:rPr>
                        <w:noProof/>
                      </w:rPr>
                    </w:pPr>
                    <w:r>
                      <w:rPr>
                        <w:noProof/>
                      </w:rPr>
                      <w:t xml:space="preserve">C. K. Ho, M. Carlson, K. J. Albrecht, Z. Ma, S. Jeter and C. M. Nguyen, "Evaluation of Alternative Designs fo a High Temperature Particle-to-sCO2 Heat Exchanger," in </w:t>
                    </w:r>
                    <w:r>
                      <w:rPr>
                        <w:i/>
                        <w:iCs/>
                        <w:noProof/>
                      </w:rPr>
                      <w:t>ASME 12th International Conference on Energy and Sustanability</w:t>
                    </w:r>
                    <w:r>
                      <w:rPr>
                        <w:noProof/>
                      </w:rPr>
                      <w:t xml:space="preserve">, Lake Buena Vista, 2018. </w:t>
                    </w:r>
                  </w:p>
                </w:tc>
              </w:tr>
              <w:tr w:rsidR="00482323" w14:paraId="1CAE6C0D" w14:textId="77777777">
                <w:trPr>
                  <w:divId w:val="2066683347"/>
                  <w:tblCellSpacing w:w="15" w:type="dxa"/>
                </w:trPr>
                <w:tc>
                  <w:tcPr>
                    <w:tcW w:w="50" w:type="pct"/>
                    <w:hideMark/>
                  </w:tcPr>
                  <w:p w14:paraId="561FE66F" w14:textId="77777777" w:rsidR="00482323" w:rsidRDefault="00482323">
                    <w:pPr>
                      <w:pStyle w:val="Bibliography"/>
                      <w:rPr>
                        <w:noProof/>
                      </w:rPr>
                    </w:pPr>
                    <w:r>
                      <w:rPr>
                        <w:noProof/>
                      </w:rPr>
                      <w:t xml:space="preserve">[4] </w:t>
                    </w:r>
                  </w:p>
                </w:tc>
                <w:tc>
                  <w:tcPr>
                    <w:tcW w:w="0" w:type="auto"/>
                    <w:hideMark/>
                  </w:tcPr>
                  <w:p w14:paraId="20D8151B" w14:textId="266C0B50" w:rsidR="00482323" w:rsidRDefault="00482323">
                    <w:pPr>
                      <w:pStyle w:val="Bibliography"/>
                      <w:rPr>
                        <w:noProof/>
                      </w:rPr>
                    </w:pPr>
                    <w:r>
                      <w:rPr>
                        <w:noProof/>
                      </w:rPr>
                      <w:t>H. F. Laubscher and K. J. Albrecht, "Part</w:t>
                    </w:r>
                    <w:r w:rsidR="00ED2CF0">
                      <w:rPr>
                        <w:noProof/>
                      </w:rPr>
                      <w:t>i</w:t>
                    </w:r>
                    <w:r>
                      <w:rPr>
                        <w:noProof/>
                      </w:rPr>
                      <w:t xml:space="preserve">cle-to-sCO2 Heat Exchanger Experimental Test Station Design and Construction," in </w:t>
                    </w:r>
                    <w:r>
                      <w:rPr>
                        <w:i/>
                        <w:iCs/>
                        <w:noProof/>
                      </w:rPr>
                      <w:t>SolarPACES 2020</w:t>
                    </w:r>
                    <w:r>
                      <w:rPr>
                        <w:noProof/>
                      </w:rPr>
                      <w:t xml:space="preserve">, Albquerque, 2020. </w:t>
                    </w:r>
                  </w:p>
                </w:tc>
              </w:tr>
              <w:tr w:rsidR="00482323" w14:paraId="6EC654DC" w14:textId="77777777">
                <w:trPr>
                  <w:divId w:val="2066683347"/>
                  <w:tblCellSpacing w:w="15" w:type="dxa"/>
                </w:trPr>
                <w:tc>
                  <w:tcPr>
                    <w:tcW w:w="50" w:type="pct"/>
                    <w:hideMark/>
                  </w:tcPr>
                  <w:p w14:paraId="6A73EDE3" w14:textId="77777777" w:rsidR="00482323" w:rsidRDefault="00482323">
                    <w:pPr>
                      <w:pStyle w:val="Bibliography"/>
                      <w:rPr>
                        <w:noProof/>
                      </w:rPr>
                    </w:pPr>
                    <w:r>
                      <w:rPr>
                        <w:noProof/>
                      </w:rPr>
                      <w:t xml:space="preserve">[5] </w:t>
                    </w:r>
                  </w:p>
                </w:tc>
                <w:tc>
                  <w:tcPr>
                    <w:tcW w:w="0" w:type="auto"/>
                    <w:hideMark/>
                  </w:tcPr>
                  <w:p w14:paraId="7C79FC05" w14:textId="77777777" w:rsidR="00482323" w:rsidRDefault="00482323">
                    <w:pPr>
                      <w:pStyle w:val="Bibliography"/>
                      <w:rPr>
                        <w:noProof/>
                      </w:rPr>
                    </w:pPr>
                    <w:r>
                      <w:rPr>
                        <w:noProof/>
                      </w:rPr>
                      <w:t xml:space="preserve">C. K. Ho, K. J. Albrecht, L. Yue, B. Mills, J. Sment, J. Christian and M. Carlson, "Overview and Deisgn Basis for the Gen 3 Particle Pilot Plant (G3P3)," in </w:t>
                    </w:r>
                    <w:r>
                      <w:rPr>
                        <w:i/>
                        <w:iCs/>
                        <w:noProof/>
                      </w:rPr>
                      <w:t>SolarPACES 2019</w:t>
                    </w:r>
                    <w:r>
                      <w:rPr>
                        <w:noProof/>
                      </w:rPr>
                      <w:t xml:space="preserve">, Daegu, 2019. </w:t>
                    </w:r>
                  </w:p>
                </w:tc>
              </w:tr>
              <w:tr w:rsidR="00482323" w14:paraId="4305E163" w14:textId="77777777">
                <w:trPr>
                  <w:divId w:val="2066683347"/>
                  <w:tblCellSpacing w:w="15" w:type="dxa"/>
                </w:trPr>
                <w:tc>
                  <w:tcPr>
                    <w:tcW w:w="50" w:type="pct"/>
                    <w:hideMark/>
                  </w:tcPr>
                  <w:p w14:paraId="49B25E4D" w14:textId="77777777" w:rsidR="00482323" w:rsidRDefault="00482323">
                    <w:pPr>
                      <w:pStyle w:val="Bibliography"/>
                      <w:rPr>
                        <w:noProof/>
                      </w:rPr>
                    </w:pPr>
                    <w:r>
                      <w:rPr>
                        <w:noProof/>
                      </w:rPr>
                      <w:t xml:space="preserve">[6] </w:t>
                    </w:r>
                  </w:p>
                </w:tc>
                <w:tc>
                  <w:tcPr>
                    <w:tcW w:w="0" w:type="auto"/>
                    <w:hideMark/>
                  </w:tcPr>
                  <w:p w14:paraId="5AD89CD8" w14:textId="77777777" w:rsidR="00482323" w:rsidRDefault="00482323">
                    <w:pPr>
                      <w:pStyle w:val="Bibliography"/>
                      <w:rPr>
                        <w:noProof/>
                      </w:rPr>
                    </w:pPr>
                    <w:r>
                      <w:rPr>
                        <w:noProof/>
                      </w:rPr>
                      <w:t xml:space="preserve">H. Al-Ansary, A. El-Leathy, Z. Al-Suhaibani, S. Jeter, D. Sadowski, A. Alrished and M. Golob, "Experimental </w:t>
                    </w:r>
                    <w:r>
                      <w:rPr>
                        <w:noProof/>
                      </w:rPr>
                      <w:t xml:space="preserve">Study of a Sand-Air Heat Exchanger for Use With a High-Temperature Solar Gas Turbine," </w:t>
                    </w:r>
                    <w:r>
                      <w:rPr>
                        <w:i/>
                        <w:iCs/>
                        <w:noProof/>
                      </w:rPr>
                      <w:t xml:space="preserve">Journal of Solar Energy Engineering, </w:t>
                    </w:r>
                    <w:r>
                      <w:rPr>
                        <w:noProof/>
                      </w:rPr>
                      <w:t xml:space="preserve">vol. 134, pp. 041017-1-7, 2012. </w:t>
                    </w:r>
                  </w:p>
                </w:tc>
              </w:tr>
              <w:tr w:rsidR="00482323" w14:paraId="2025313D" w14:textId="77777777">
                <w:trPr>
                  <w:divId w:val="2066683347"/>
                  <w:tblCellSpacing w:w="15" w:type="dxa"/>
                </w:trPr>
                <w:tc>
                  <w:tcPr>
                    <w:tcW w:w="50" w:type="pct"/>
                    <w:hideMark/>
                  </w:tcPr>
                  <w:p w14:paraId="53A4616A" w14:textId="77777777" w:rsidR="00482323" w:rsidRDefault="00482323">
                    <w:pPr>
                      <w:pStyle w:val="Bibliography"/>
                      <w:rPr>
                        <w:noProof/>
                      </w:rPr>
                    </w:pPr>
                    <w:r>
                      <w:rPr>
                        <w:noProof/>
                      </w:rPr>
                      <w:t xml:space="preserve">[7] </w:t>
                    </w:r>
                  </w:p>
                </w:tc>
                <w:tc>
                  <w:tcPr>
                    <w:tcW w:w="0" w:type="auto"/>
                    <w:hideMark/>
                  </w:tcPr>
                  <w:p w14:paraId="643A002A" w14:textId="77777777" w:rsidR="00482323" w:rsidRDefault="00482323">
                    <w:pPr>
                      <w:pStyle w:val="Bibliography"/>
                      <w:rPr>
                        <w:noProof/>
                      </w:rPr>
                    </w:pPr>
                    <w:r>
                      <w:rPr>
                        <w:noProof/>
                      </w:rPr>
                      <w:t xml:space="preserve">T. Baumann and S. Zunft, "Development and performance assessment of a moving bed heat exchanger for solar central receiver power plants," in </w:t>
                    </w:r>
                    <w:r>
                      <w:rPr>
                        <w:i/>
                        <w:iCs/>
                        <w:noProof/>
                      </w:rPr>
                      <w:t>SolarPACES 2014</w:t>
                    </w:r>
                    <w:r>
                      <w:rPr>
                        <w:noProof/>
                      </w:rPr>
                      <w:t xml:space="preserve">, Beijing, 2015. </w:t>
                    </w:r>
                  </w:p>
                </w:tc>
              </w:tr>
              <w:tr w:rsidR="00482323" w14:paraId="51C83DF0" w14:textId="77777777">
                <w:trPr>
                  <w:divId w:val="2066683347"/>
                  <w:tblCellSpacing w:w="15" w:type="dxa"/>
                </w:trPr>
                <w:tc>
                  <w:tcPr>
                    <w:tcW w:w="50" w:type="pct"/>
                    <w:hideMark/>
                  </w:tcPr>
                  <w:p w14:paraId="4DDEACCD" w14:textId="77777777" w:rsidR="00482323" w:rsidRDefault="00482323">
                    <w:pPr>
                      <w:pStyle w:val="Bibliography"/>
                      <w:rPr>
                        <w:noProof/>
                      </w:rPr>
                    </w:pPr>
                    <w:r>
                      <w:rPr>
                        <w:noProof/>
                      </w:rPr>
                      <w:t xml:space="preserve">[8] </w:t>
                    </w:r>
                  </w:p>
                </w:tc>
                <w:tc>
                  <w:tcPr>
                    <w:tcW w:w="0" w:type="auto"/>
                    <w:hideMark/>
                  </w:tcPr>
                  <w:p w14:paraId="729824CA" w14:textId="77777777" w:rsidR="00482323" w:rsidRDefault="00482323">
                    <w:pPr>
                      <w:pStyle w:val="Bibliography"/>
                      <w:rPr>
                        <w:noProof/>
                      </w:rPr>
                    </w:pPr>
                    <w:r>
                      <w:rPr>
                        <w:noProof/>
                      </w:rPr>
                      <w:t xml:space="preserve">M. D. Carlson and C. K. Ho, "A Particle/sCO2 Heat Exchanger Testbed and Reference Cycle Cost," in </w:t>
                    </w:r>
                    <w:r>
                      <w:rPr>
                        <w:i/>
                        <w:iCs/>
                        <w:noProof/>
                      </w:rPr>
                      <w:t>Proceedings of the ASME 10th International Conference on Energy Sustainability</w:t>
                    </w:r>
                    <w:r>
                      <w:rPr>
                        <w:noProof/>
                      </w:rPr>
                      <w:t xml:space="preserve">, Charlotte, 2016. </w:t>
                    </w:r>
                  </w:p>
                </w:tc>
              </w:tr>
              <w:tr w:rsidR="00482323" w14:paraId="6F43647D" w14:textId="77777777">
                <w:trPr>
                  <w:divId w:val="2066683347"/>
                  <w:tblCellSpacing w:w="15" w:type="dxa"/>
                </w:trPr>
                <w:tc>
                  <w:tcPr>
                    <w:tcW w:w="50" w:type="pct"/>
                    <w:hideMark/>
                  </w:tcPr>
                  <w:p w14:paraId="09FCF10A" w14:textId="77777777" w:rsidR="00482323" w:rsidRDefault="00482323">
                    <w:pPr>
                      <w:pStyle w:val="Bibliography"/>
                      <w:rPr>
                        <w:noProof/>
                      </w:rPr>
                    </w:pPr>
                    <w:r>
                      <w:rPr>
                        <w:noProof/>
                      </w:rPr>
                      <w:t xml:space="preserve">[9] </w:t>
                    </w:r>
                  </w:p>
                </w:tc>
                <w:tc>
                  <w:tcPr>
                    <w:tcW w:w="0" w:type="auto"/>
                    <w:hideMark/>
                  </w:tcPr>
                  <w:p w14:paraId="47B7BFBC" w14:textId="77777777" w:rsidR="00482323" w:rsidRDefault="00482323">
                    <w:pPr>
                      <w:pStyle w:val="Bibliography"/>
                      <w:rPr>
                        <w:noProof/>
                      </w:rPr>
                    </w:pPr>
                    <w:r>
                      <w:rPr>
                        <w:noProof/>
                      </w:rPr>
                      <w:t xml:space="preserve">K. J. Albrecht, M. D. Carlson, H. F. Laubscher, R. Crandell, N. DeLovato and C. K. Ho, "Testing and Model Validation of a Prototype Moving Packed-Bed Particle-to-sCO2 Heat Exchanger," in </w:t>
                    </w:r>
                    <w:r>
                      <w:rPr>
                        <w:i/>
                        <w:iCs/>
                        <w:noProof/>
                      </w:rPr>
                      <w:t>SolarPACES 2019</w:t>
                    </w:r>
                    <w:r>
                      <w:rPr>
                        <w:noProof/>
                      </w:rPr>
                      <w:t xml:space="preserve">, Daegu, South Korea, 2019. </w:t>
                    </w:r>
                  </w:p>
                </w:tc>
              </w:tr>
              <w:tr w:rsidR="00482323" w14:paraId="2BFF34B7" w14:textId="77777777">
                <w:trPr>
                  <w:divId w:val="2066683347"/>
                  <w:tblCellSpacing w:w="15" w:type="dxa"/>
                </w:trPr>
                <w:tc>
                  <w:tcPr>
                    <w:tcW w:w="50" w:type="pct"/>
                    <w:hideMark/>
                  </w:tcPr>
                  <w:p w14:paraId="0772FD69" w14:textId="77777777" w:rsidR="00482323" w:rsidRDefault="00482323">
                    <w:pPr>
                      <w:pStyle w:val="Bibliography"/>
                      <w:rPr>
                        <w:noProof/>
                      </w:rPr>
                    </w:pPr>
                    <w:r>
                      <w:rPr>
                        <w:noProof/>
                      </w:rPr>
                      <w:t xml:space="preserve">[10] </w:t>
                    </w:r>
                  </w:p>
                </w:tc>
                <w:tc>
                  <w:tcPr>
                    <w:tcW w:w="0" w:type="auto"/>
                    <w:hideMark/>
                  </w:tcPr>
                  <w:p w14:paraId="61704B22" w14:textId="77777777" w:rsidR="00482323" w:rsidRDefault="00482323">
                    <w:pPr>
                      <w:pStyle w:val="Bibliography"/>
                      <w:rPr>
                        <w:noProof/>
                      </w:rPr>
                    </w:pPr>
                    <w:r>
                      <w:rPr>
                        <w:noProof/>
                      </w:rPr>
                      <w:t xml:space="preserve">Z. Ma, G. Glatzmaier and M. Mehos, "Fluidized Bed Technology for Concentrating Solar Power With Thermal Energy Storage," </w:t>
                    </w:r>
                    <w:r>
                      <w:rPr>
                        <w:i/>
                        <w:iCs/>
                        <w:noProof/>
                      </w:rPr>
                      <w:t xml:space="preserve">Journal of Solar Energy Engineering, </w:t>
                    </w:r>
                    <w:r>
                      <w:rPr>
                        <w:noProof/>
                      </w:rPr>
                      <w:t xml:space="preserve">vol. 136, no. 3, p. 031014, 2014. </w:t>
                    </w:r>
                  </w:p>
                </w:tc>
              </w:tr>
              <w:tr w:rsidR="00482323" w14:paraId="02FD3317" w14:textId="77777777">
                <w:trPr>
                  <w:divId w:val="2066683347"/>
                  <w:tblCellSpacing w:w="15" w:type="dxa"/>
                </w:trPr>
                <w:tc>
                  <w:tcPr>
                    <w:tcW w:w="50" w:type="pct"/>
                    <w:hideMark/>
                  </w:tcPr>
                  <w:p w14:paraId="78961064" w14:textId="77777777" w:rsidR="00482323" w:rsidRDefault="00482323">
                    <w:pPr>
                      <w:pStyle w:val="Bibliography"/>
                      <w:rPr>
                        <w:noProof/>
                      </w:rPr>
                    </w:pPr>
                    <w:r>
                      <w:rPr>
                        <w:noProof/>
                      </w:rPr>
                      <w:t xml:space="preserve">[11] </w:t>
                    </w:r>
                  </w:p>
                </w:tc>
                <w:tc>
                  <w:tcPr>
                    <w:tcW w:w="0" w:type="auto"/>
                    <w:hideMark/>
                  </w:tcPr>
                  <w:p w14:paraId="2FFFCA35" w14:textId="77777777" w:rsidR="00482323" w:rsidRDefault="00482323">
                    <w:pPr>
                      <w:pStyle w:val="Bibliography"/>
                      <w:rPr>
                        <w:noProof/>
                      </w:rPr>
                    </w:pPr>
                    <w:r>
                      <w:rPr>
                        <w:noProof/>
                      </w:rPr>
                      <w:t xml:space="preserve">K. J. Albrecht and C. K. Ho, "Design and operating considerations for a shell-and-plate, moving packed-bed, particle-to-sCO2 heat exchanger," </w:t>
                    </w:r>
                    <w:r>
                      <w:rPr>
                        <w:i/>
                        <w:iCs/>
                        <w:noProof/>
                      </w:rPr>
                      <w:t xml:space="preserve">Solar Energy, </w:t>
                    </w:r>
                    <w:r>
                      <w:rPr>
                        <w:noProof/>
                      </w:rPr>
                      <w:t xml:space="preserve">vol. 178, pp. 331-340, 2019. </w:t>
                    </w:r>
                  </w:p>
                </w:tc>
              </w:tr>
            </w:tbl>
            <w:p w14:paraId="469DB90B" w14:textId="77777777" w:rsidR="00482323" w:rsidRDefault="00482323">
              <w:pPr>
                <w:divId w:val="2066683347"/>
                <w:rPr>
                  <w:noProof/>
                </w:rPr>
              </w:pPr>
            </w:p>
            <w:p w14:paraId="68EF18EB" w14:textId="242749A8" w:rsidR="00BD6416" w:rsidRDefault="00BD6416">
              <w:r>
                <w:rPr>
                  <w:b/>
                  <w:bCs/>
                  <w:noProof/>
                </w:rPr>
                <w:fldChar w:fldCharType="end"/>
              </w:r>
            </w:p>
          </w:sdtContent>
        </w:sdt>
      </w:sdtContent>
    </w:sdt>
    <w:p w14:paraId="4F6D15D8" w14:textId="77777777" w:rsidR="00054262" w:rsidRDefault="00054262" w:rsidP="00054262">
      <w:pPr>
        <w:pStyle w:val="BodyTextIndent"/>
        <w:ind w:firstLine="0"/>
        <w:rPr>
          <w:rFonts w:ascii="Arial" w:hAnsi="Arial" w:cs="Arial"/>
          <w:b/>
          <w:kern w:val="0"/>
        </w:rPr>
      </w:pPr>
    </w:p>
    <w:sectPr w:rsidR="00054262">
      <w:type w:val="continuous"/>
      <w:pgSz w:w="12240" w:h="15840"/>
      <w:pgMar w:top="1440" w:right="720" w:bottom="1440" w:left="720" w:header="720" w:footer="720" w:gutter="0"/>
      <w:cols w:num="2" w:space="540" w:equalWidth="0">
        <w:col w:w="5130" w:space="540"/>
        <w:col w:w="51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DBBE9" w14:textId="77777777" w:rsidR="007976A3" w:rsidRDefault="007976A3">
      <w:r>
        <w:separator/>
      </w:r>
    </w:p>
  </w:endnote>
  <w:endnote w:type="continuationSeparator" w:id="0">
    <w:p w14:paraId="083DE6FF" w14:textId="77777777" w:rsidR="007976A3" w:rsidRDefault="0079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FA07" w14:textId="02ADC3D3" w:rsidR="008B61D2" w:rsidRDefault="008B61D2">
    <w:pPr>
      <w:pStyle w:val="Footer"/>
    </w:pPr>
    <w:r>
      <w:tab/>
    </w:r>
    <w:r>
      <w:fldChar w:fldCharType="begin"/>
    </w:r>
    <w:r>
      <w:instrText xml:space="preserve"> PAGE  \* MERGEFORMAT </w:instrText>
    </w:r>
    <w:r>
      <w:fldChar w:fldCharType="separate"/>
    </w:r>
    <w:r w:rsidR="00365795">
      <w:rPr>
        <w:noProof/>
      </w:rPr>
      <w:t>1</w:t>
    </w:r>
    <w:r>
      <w:fldChar w:fldCharType="end"/>
    </w:r>
    <w:r>
      <w:tab/>
      <w:t>© 20</w:t>
    </w:r>
    <w:r w:rsidR="001A2AC2">
      <w:t>21</w:t>
    </w:r>
    <w:r>
      <w:t xml:space="preserve"> by ASME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6066C" w14:textId="77777777" w:rsidR="007976A3" w:rsidRDefault="007976A3">
      <w:r>
        <w:separator/>
      </w:r>
    </w:p>
  </w:footnote>
  <w:footnote w:type="continuationSeparator" w:id="0">
    <w:p w14:paraId="190CE9DC" w14:textId="77777777" w:rsidR="007976A3" w:rsidRDefault="00797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D497E"/>
    <w:multiLevelType w:val="hybridMultilevel"/>
    <w:tmpl w:val="5D68B3F2"/>
    <w:lvl w:ilvl="0" w:tplc="1B90CE3C">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B23DE"/>
    <w:multiLevelType w:val="hybridMultilevel"/>
    <w:tmpl w:val="C8A2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E6004"/>
    <w:multiLevelType w:val="hybridMultilevel"/>
    <w:tmpl w:val="774C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E1BE8"/>
    <w:multiLevelType w:val="hybridMultilevel"/>
    <w:tmpl w:val="27BE1B7A"/>
    <w:lvl w:ilvl="0" w:tplc="B68216A6">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76D97"/>
    <w:multiLevelType w:val="hybridMultilevel"/>
    <w:tmpl w:val="2F4C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0B449C"/>
    <w:rsid w:val="0000101F"/>
    <w:rsid w:val="00014EE5"/>
    <w:rsid w:val="000258AC"/>
    <w:rsid w:val="000341DB"/>
    <w:rsid w:val="0004163F"/>
    <w:rsid w:val="00054262"/>
    <w:rsid w:val="000552C1"/>
    <w:rsid w:val="000575D7"/>
    <w:rsid w:val="00063C98"/>
    <w:rsid w:val="00070814"/>
    <w:rsid w:val="00086ACE"/>
    <w:rsid w:val="000A2ABB"/>
    <w:rsid w:val="000A6708"/>
    <w:rsid w:val="000A6DA2"/>
    <w:rsid w:val="000B449C"/>
    <w:rsid w:val="000C255E"/>
    <w:rsid w:val="000C26B3"/>
    <w:rsid w:val="0012344E"/>
    <w:rsid w:val="00127871"/>
    <w:rsid w:val="0014064C"/>
    <w:rsid w:val="00150624"/>
    <w:rsid w:val="00154518"/>
    <w:rsid w:val="001620EF"/>
    <w:rsid w:val="001628A5"/>
    <w:rsid w:val="00187C1B"/>
    <w:rsid w:val="001A2AC2"/>
    <w:rsid w:val="001B6435"/>
    <w:rsid w:val="001B7B91"/>
    <w:rsid w:val="001E50B6"/>
    <w:rsid w:val="001F470B"/>
    <w:rsid w:val="002068A6"/>
    <w:rsid w:val="00215C68"/>
    <w:rsid w:val="00217DC3"/>
    <w:rsid w:val="0023171F"/>
    <w:rsid w:val="00241239"/>
    <w:rsid w:val="002533B9"/>
    <w:rsid w:val="00256ACB"/>
    <w:rsid w:val="002C2D1B"/>
    <w:rsid w:val="002E2BAB"/>
    <w:rsid w:val="002E77C8"/>
    <w:rsid w:val="002F53C7"/>
    <w:rsid w:val="002F69E6"/>
    <w:rsid w:val="002F6EC4"/>
    <w:rsid w:val="002F74F5"/>
    <w:rsid w:val="0030254D"/>
    <w:rsid w:val="00320E59"/>
    <w:rsid w:val="00353465"/>
    <w:rsid w:val="00354732"/>
    <w:rsid w:val="00354C93"/>
    <w:rsid w:val="00365795"/>
    <w:rsid w:val="00365D7E"/>
    <w:rsid w:val="00374551"/>
    <w:rsid w:val="00384EB5"/>
    <w:rsid w:val="00390A3A"/>
    <w:rsid w:val="003A57D7"/>
    <w:rsid w:val="003B37BC"/>
    <w:rsid w:val="003B605F"/>
    <w:rsid w:val="003C6AD7"/>
    <w:rsid w:val="003D1102"/>
    <w:rsid w:val="003D1217"/>
    <w:rsid w:val="003D793F"/>
    <w:rsid w:val="003E27FF"/>
    <w:rsid w:val="003E36A7"/>
    <w:rsid w:val="003E611A"/>
    <w:rsid w:val="003F040C"/>
    <w:rsid w:val="00405701"/>
    <w:rsid w:val="004302C8"/>
    <w:rsid w:val="00431F04"/>
    <w:rsid w:val="00482323"/>
    <w:rsid w:val="00491EAF"/>
    <w:rsid w:val="004B7B30"/>
    <w:rsid w:val="004C64C5"/>
    <w:rsid w:val="005561F1"/>
    <w:rsid w:val="00567493"/>
    <w:rsid w:val="00574E9F"/>
    <w:rsid w:val="00577192"/>
    <w:rsid w:val="00584255"/>
    <w:rsid w:val="005A5427"/>
    <w:rsid w:val="005B78B7"/>
    <w:rsid w:val="005E134D"/>
    <w:rsid w:val="005F43D8"/>
    <w:rsid w:val="006053A4"/>
    <w:rsid w:val="00641FC6"/>
    <w:rsid w:val="00642EFB"/>
    <w:rsid w:val="00671CB0"/>
    <w:rsid w:val="00673784"/>
    <w:rsid w:val="006770A4"/>
    <w:rsid w:val="006A0F83"/>
    <w:rsid w:val="006B1276"/>
    <w:rsid w:val="006B57AE"/>
    <w:rsid w:val="006D6B9E"/>
    <w:rsid w:val="006D769C"/>
    <w:rsid w:val="006E1E81"/>
    <w:rsid w:val="007044EB"/>
    <w:rsid w:val="00715EDB"/>
    <w:rsid w:val="00775118"/>
    <w:rsid w:val="007919F7"/>
    <w:rsid w:val="007976A3"/>
    <w:rsid w:val="007B2BF3"/>
    <w:rsid w:val="007C0ADB"/>
    <w:rsid w:val="007E2257"/>
    <w:rsid w:val="00802EEE"/>
    <w:rsid w:val="008104C8"/>
    <w:rsid w:val="0081483C"/>
    <w:rsid w:val="008258CD"/>
    <w:rsid w:val="00846039"/>
    <w:rsid w:val="00860C3E"/>
    <w:rsid w:val="008637C2"/>
    <w:rsid w:val="008A6CC9"/>
    <w:rsid w:val="008B25D0"/>
    <w:rsid w:val="008B61D2"/>
    <w:rsid w:val="008B7C9F"/>
    <w:rsid w:val="008C095F"/>
    <w:rsid w:val="008C60E3"/>
    <w:rsid w:val="008D3F2B"/>
    <w:rsid w:val="008E24EC"/>
    <w:rsid w:val="008E363F"/>
    <w:rsid w:val="00920657"/>
    <w:rsid w:val="009349E8"/>
    <w:rsid w:val="00940364"/>
    <w:rsid w:val="00966875"/>
    <w:rsid w:val="00983612"/>
    <w:rsid w:val="009A3C9A"/>
    <w:rsid w:val="009A7280"/>
    <w:rsid w:val="009E4E9A"/>
    <w:rsid w:val="009F5293"/>
    <w:rsid w:val="00A16620"/>
    <w:rsid w:val="00A31548"/>
    <w:rsid w:val="00A35827"/>
    <w:rsid w:val="00A36DC3"/>
    <w:rsid w:val="00A5037A"/>
    <w:rsid w:val="00A5448B"/>
    <w:rsid w:val="00A67F23"/>
    <w:rsid w:val="00A764E7"/>
    <w:rsid w:val="00A9468F"/>
    <w:rsid w:val="00AB53B4"/>
    <w:rsid w:val="00AC576C"/>
    <w:rsid w:val="00AD4E35"/>
    <w:rsid w:val="00AE0237"/>
    <w:rsid w:val="00AE6FD9"/>
    <w:rsid w:val="00B32E10"/>
    <w:rsid w:val="00B4758C"/>
    <w:rsid w:val="00B6176E"/>
    <w:rsid w:val="00B651AC"/>
    <w:rsid w:val="00B67CE2"/>
    <w:rsid w:val="00B86FAF"/>
    <w:rsid w:val="00B90D99"/>
    <w:rsid w:val="00B92473"/>
    <w:rsid w:val="00B938D4"/>
    <w:rsid w:val="00BA5E35"/>
    <w:rsid w:val="00BD1F2F"/>
    <w:rsid w:val="00BD6416"/>
    <w:rsid w:val="00BD7367"/>
    <w:rsid w:val="00BE716A"/>
    <w:rsid w:val="00BF7838"/>
    <w:rsid w:val="00C26B49"/>
    <w:rsid w:val="00C66D4E"/>
    <w:rsid w:val="00C92BC3"/>
    <w:rsid w:val="00C9485F"/>
    <w:rsid w:val="00CA3978"/>
    <w:rsid w:val="00CA53D6"/>
    <w:rsid w:val="00CA7293"/>
    <w:rsid w:val="00CB27AF"/>
    <w:rsid w:val="00CC61F1"/>
    <w:rsid w:val="00CF4222"/>
    <w:rsid w:val="00D02522"/>
    <w:rsid w:val="00D45470"/>
    <w:rsid w:val="00D57FCE"/>
    <w:rsid w:val="00DB436A"/>
    <w:rsid w:val="00DD3903"/>
    <w:rsid w:val="00DD731F"/>
    <w:rsid w:val="00DF465D"/>
    <w:rsid w:val="00E154A0"/>
    <w:rsid w:val="00E663DD"/>
    <w:rsid w:val="00E86FFE"/>
    <w:rsid w:val="00EA4B55"/>
    <w:rsid w:val="00EC1D31"/>
    <w:rsid w:val="00EC47E5"/>
    <w:rsid w:val="00EC4A48"/>
    <w:rsid w:val="00ED2CF0"/>
    <w:rsid w:val="00EE0BDC"/>
    <w:rsid w:val="00EE44F4"/>
    <w:rsid w:val="00EF0A48"/>
    <w:rsid w:val="00F057E1"/>
    <w:rsid w:val="00F12C95"/>
    <w:rsid w:val="00F142D0"/>
    <w:rsid w:val="00F27B7A"/>
    <w:rsid w:val="00F366A4"/>
    <w:rsid w:val="00F459DC"/>
    <w:rsid w:val="00F47206"/>
    <w:rsid w:val="00F509AE"/>
    <w:rsid w:val="00F92F50"/>
    <w:rsid w:val="00F96B79"/>
    <w:rsid w:val="00FA3567"/>
    <w:rsid w:val="00FA42FC"/>
    <w:rsid w:val="00FC0532"/>
    <w:rsid w:val="00F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7FC1D"/>
  <w15:chartTrackingRefBased/>
  <w15:docId w15:val="{D7B840EF-4DFD-4702-9BD1-E9EF0F4D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rPr>
      <w:kern w:val="14"/>
    </w:rPr>
  </w:style>
  <w:style w:type="paragraph" w:styleId="Heading1">
    <w:name w:val="heading 1"/>
    <w:basedOn w:val="Normal"/>
    <w:link w:val="Heading1Char"/>
    <w:uiPriority w:val="9"/>
    <w:qFormat/>
    <w:rsid w:val="00715EDB"/>
    <w:pPr>
      <w:widowControl w:val="0"/>
      <w:suppressAutoHyphens w:val="0"/>
      <w:overflowPunct/>
      <w:autoSpaceDE/>
      <w:autoSpaceDN/>
      <w:adjustRightInd/>
      <w:ind w:left="100"/>
      <w:jc w:val="left"/>
      <w:textAlignment w:val="auto"/>
      <w:outlineLvl w:val="0"/>
    </w:pPr>
    <w:rPr>
      <w:rFonts w:cstheme="minorBidi"/>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pPr>
      <w:keepNext/>
    </w:pPr>
    <w:rPr>
      <w:rFonts w:ascii="Arial" w:hAnsi="Arial"/>
      <w:b/>
      <w:caps/>
    </w:rPr>
  </w:style>
  <w:style w:type="paragraph" w:styleId="BodyTextIndent">
    <w:name w:val="Body Text Indent"/>
    <w:basedOn w:val="Normal"/>
    <w:pPr>
      <w:ind w:firstLine="360"/>
    </w:pPr>
  </w:style>
  <w:style w:type="paragraph" w:customStyle="1" w:styleId="AcknowledgmentsClauseTitle">
    <w:name w:val="Acknowledgments Clause Title"/>
    <w:basedOn w:val="Normal"/>
    <w:next w:val="BodyTextIndent"/>
    <w:pPr>
      <w:keepNext/>
      <w:spacing w:before="240"/>
    </w:pPr>
    <w:rPr>
      <w:rFonts w:ascii="Arial" w:hAnsi="Arial"/>
      <w:b/>
      <w:caps/>
    </w:rPr>
  </w:style>
  <w:style w:type="paragraph" w:customStyle="1" w:styleId="Affiliation">
    <w:name w:val="Affiliation"/>
    <w:basedOn w:val="Normal"/>
    <w:pPr>
      <w:jc w:val="center"/>
    </w:pPr>
    <w:rPr>
      <w:rFonts w:ascii="Arial" w:hAnsi="Arial"/>
    </w:rPr>
  </w:style>
  <w:style w:type="paragraph" w:customStyle="1" w:styleId="Author">
    <w:name w:val="Author"/>
    <w:basedOn w:val="Normal"/>
    <w:next w:val="Affiliation"/>
    <w:pPr>
      <w:keepNext/>
      <w:jc w:val="center"/>
    </w:pPr>
    <w:rPr>
      <w:rFonts w:ascii="Arial" w:hAnsi="Arial"/>
      <w:b/>
    </w:rPr>
  </w:style>
  <w:style w:type="paragraph" w:customStyle="1" w:styleId="DocumentNumber">
    <w:name w:val="Document Number"/>
    <w:basedOn w:val="Normal"/>
    <w:next w:val="BodyTextIndent"/>
    <w:pPr>
      <w:spacing w:before="900"/>
      <w:jc w:val="right"/>
    </w:pPr>
    <w:rPr>
      <w:rFonts w:ascii="Arial" w:hAnsi="Arial"/>
      <w:b/>
      <w:sz w:val="36"/>
    </w:rPr>
  </w:style>
  <w:style w:type="paragraph" w:customStyle="1" w:styleId="EquationNumber">
    <w:name w:val="Equation Number"/>
    <w:basedOn w:val="Normal"/>
    <w:next w:val="BodyTextIndent"/>
    <w:pPr>
      <w:jc w:val="right"/>
    </w:pPr>
  </w:style>
  <w:style w:type="paragraph" w:customStyle="1" w:styleId="FigureCaption">
    <w:name w:val="Figure Caption"/>
    <w:basedOn w:val="Normal"/>
    <w:next w:val="BodyTextIndent"/>
    <w:pPr>
      <w:jc w:val="center"/>
    </w:pPr>
    <w:rPr>
      <w:rFonts w:ascii="Arial" w:hAnsi="Arial"/>
      <w:b/>
    </w:rPr>
  </w:style>
  <w:style w:type="paragraph" w:styleId="Footer">
    <w:name w:val="footer"/>
    <w:basedOn w:val="Normal"/>
    <w:next w:val="Header"/>
    <w:pPr>
      <w:tabs>
        <w:tab w:val="center" w:pos="5760"/>
        <w:tab w:val="right" w:pos="10800"/>
      </w:tabs>
    </w:pPr>
  </w:style>
  <w:style w:type="paragraph" w:styleId="Header">
    <w:name w:val="header"/>
    <w:basedOn w:val="Normal"/>
    <w:next w:val="Footer"/>
  </w:style>
  <w:style w:type="paragraph" w:styleId="FootnoteText">
    <w:name w:val="footnote text"/>
    <w:basedOn w:val="Normal"/>
    <w:semiHidden/>
    <w:pPr>
      <w:ind w:firstLine="360"/>
    </w:pPr>
    <w:rPr>
      <w:sz w:val="16"/>
    </w:rPr>
  </w:style>
  <w:style w:type="paragraph" w:customStyle="1" w:styleId="NomenclatureClauseTitle">
    <w:name w:val="Nomenclature Clause Title"/>
    <w:basedOn w:val="Normal"/>
    <w:next w:val="BodyTextIndent"/>
    <w:pPr>
      <w:keepNext/>
      <w:spacing w:before="240"/>
    </w:pPr>
    <w:rPr>
      <w:rFonts w:ascii="Arial" w:hAnsi="Arial"/>
      <w:b/>
      <w:caps/>
    </w:rPr>
  </w:style>
  <w:style w:type="paragraph" w:customStyle="1" w:styleId="ReferencesClauseTitle">
    <w:name w:val="References Clause Title"/>
    <w:basedOn w:val="Normal"/>
    <w:next w:val="BodyTextIndent"/>
    <w:pPr>
      <w:keepNext/>
      <w:spacing w:before="240"/>
    </w:pPr>
    <w:rPr>
      <w:rFonts w:ascii="Arial" w:hAnsi="Arial"/>
      <w:b/>
      <w:caps/>
    </w:rPr>
  </w:style>
  <w:style w:type="paragraph" w:customStyle="1" w:styleId="TableCaption">
    <w:name w:val="Table Caption"/>
    <w:basedOn w:val="Normal"/>
    <w:next w:val="BodyTextIndent"/>
    <w:pPr>
      <w:jc w:val="center"/>
    </w:pPr>
    <w:rPr>
      <w:rFonts w:ascii="Arial" w:hAnsi="Arial"/>
      <w:b/>
    </w:rPr>
  </w:style>
  <w:style w:type="paragraph" w:customStyle="1" w:styleId="TextHeading1">
    <w:name w:val="Text Heading 1"/>
    <w:basedOn w:val="Normal"/>
    <w:next w:val="BodyTextIndent"/>
    <w:pPr>
      <w:keepNext/>
      <w:spacing w:before="240"/>
    </w:pPr>
    <w:rPr>
      <w:rFonts w:ascii="Arial" w:hAnsi="Arial"/>
      <w:b/>
      <w:caps/>
    </w:rPr>
  </w:style>
  <w:style w:type="paragraph" w:customStyle="1" w:styleId="TextHeading2">
    <w:name w:val="Text Heading 2"/>
    <w:basedOn w:val="Normal"/>
    <w:next w:val="BodyTextIndent"/>
    <w:pPr>
      <w:keepNext/>
      <w:spacing w:before="240"/>
    </w:pPr>
    <w:rPr>
      <w:rFonts w:ascii="Arial" w:hAnsi="Arial"/>
      <w:b/>
      <w:u w:val="single"/>
    </w:rPr>
  </w:style>
  <w:style w:type="paragraph" w:customStyle="1" w:styleId="TextHeading3">
    <w:name w:val="Text Heading 3"/>
    <w:basedOn w:val="Normal"/>
    <w:next w:val="BodyTextIndent"/>
    <w:pPr>
      <w:spacing w:before="240"/>
      <w:ind w:left="360"/>
    </w:pPr>
    <w:rPr>
      <w:rFonts w:ascii="Arial" w:hAnsi="Arial"/>
      <w:b/>
      <w:u w:val="single"/>
    </w:rPr>
  </w:style>
  <w:style w:type="paragraph" w:styleId="Title">
    <w:name w:val="Title"/>
    <w:basedOn w:val="Normal"/>
    <w:qFormat/>
    <w:pPr>
      <w:spacing w:before="760"/>
      <w:jc w:val="center"/>
    </w:pPr>
    <w:rPr>
      <w:rFonts w:ascii="Arial" w:hAnsi="Arial"/>
      <w:b/>
      <w:caps/>
      <w:sz w:val="24"/>
    </w:rPr>
  </w:style>
  <w:style w:type="paragraph" w:styleId="PlainText">
    <w:name w:val="Plain Text"/>
    <w:basedOn w:val="Normal"/>
    <w:pPr>
      <w:suppressAutoHyphens w:val="0"/>
      <w:overflowPunct/>
      <w:autoSpaceDE/>
      <w:autoSpaceDN/>
      <w:adjustRightInd/>
      <w:jc w:val="left"/>
      <w:textAlignment w:val="auto"/>
    </w:pPr>
    <w:rPr>
      <w:rFonts w:ascii="Courier New" w:hAnsi="Courier New" w:cs="Courier New"/>
      <w:kern w:val="0"/>
    </w:rPr>
  </w:style>
  <w:style w:type="character" w:styleId="FootnoteReference">
    <w:name w:val="footnote reference"/>
    <w:basedOn w:val="DefaultParagraphFont"/>
    <w:rsid w:val="0014064C"/>
    <w:rPr>
      <w:vertAlign w:val="superscript"/>
    </w:rPr>
  </w:style>
  <w:style w:type="paragraph" w:styleId="BalloonText">
    <w:name w:val="Balloon Text"/>
    <w:basedOn w:val="Normal"/>
    <w:link w:val="BalloonTextChar"/>
    <w:rsid w:val="00940364"/>
    <w:rPr>
      <w:rFonts w:ascii="Segoe UI" w:hAnsi="Segoe UI" w:cs="Segoe UI"/>
      <w:sz w:val="18"/>
      <w:szCs w:val="18"/>
    </w:rPr>
  </w:style>
  <w:style w:type="character" w:customStyle="1" w:styleId="BalloonTextChar">
    <w:name w:val="Balloon Text Char"/>
    <w:basedOn w:val="DefaultParagraphFont"/>
    <w:link w:val="BalloonText"/>
    <w:rsid w:val="00940364"/>
    <w:rPr>
      <w:rFonts w:ascii="Segoe UI" w:hAnsi="Segoe UI" w:cs="Segoe UI"/>
      <w:kern w:val="14"/>
      <w:sz w:val="18"/>
      <w:szCs w:val="18"/>
    </w:rPr>
  </w:style>
  <w:style w:type="paragraph" w:styleId="BodyText">
    <w:name w:val="Body Text"/>
    <w:basedOn w:val="Normal"/>
    <w:link w:val="BodyTextChar"/>
    <w:rsid w:val="002F74F5"/>
    <w:pPr>
      <w:spacing w:after="120"/>
    </w:pPr>
  </w:style>
  <w:style w:type="character" w:customStyle="1" w:styleId="BodyTextChar">
    <w:name w:val="Body Text Char"/>
    <w:basedOn w:val="DefaultParagraphFont"/>
    <w:link w:val="BodyText"/>
    <w:rsid w:val="002F74F5"/>
    <w:rPr>
      <w:kern w:val="14"/>
    </w:rPr>
  </w:style>
  <w:style w:type="paragraph" w:styleId="NormalWeb">
    <w:name w:val="Normal (Web)"/>
    <w:basedOn w:val="Normal"/>
    <w:uiPriority w:val="99"/>
    <w:unhideWhenUsed/>
    <w:rsid w:val="00AE6FD9"/>
    <w:pPr>
      <w:suppressAutoHyphens w:val="0"/>
      <w:overflowPunct/>
      <w:autoSpaceDE/>
      <w:autoSpaceDN/>
      <w:adjustRightInd/>
      <w:spacing w:before="100" w:beforeAutospacing="1" w:after="100" w:afterAutospacing="1"/>
      <w:jc w:val="left"/>
      <w:textAlignment w:val="auto"/>
    </w:pPr>
    <w:rPr>
      <w:rFonts w:eastAsiaTheme="minorHAnsi"/>
      <w:kern w:val="0"/>
      <w:sz w:val="24"/>
      <w:szCs w:val="24"/>
    </w:rPr>
  </w:style>
  <w:style w:type="character" w:customStyle="1" w:styleId="Heading1Char">
    <w:name w:val="Heading 1 Char"/>
    <w:basedOn w:val="DefaultParagraphFont"/>
    <w:link w:val="Heading1"/>
    <w:uiPriority w:val="9"/>
    <w:rsid w:val="00715EDB"/>
    <w:rPr>
      <w:rFonts w:cstheme="minorBidi"/>
      <w:b/>
      <w:bCs/>
    </w:rPr>
  </w:style>
  <w:style w:type="paragraph" w:styleId="Caption">
    <w:name w:val="caption"/>
    <w:basedOn w:val="Normal"/>
    <w:next w:val="Normal"/>
    <w:unhideWhenUsed/>
    <w:qFormat/>
    <w:rsid w:val="0023171F"/>
    <w:pPr>
      <w:spacing w:after="200"/>
    </w:pPr>
    <w:rPr>
      <w:i/>
      <w:iCs/>
      <w:color w:val="44546A" w:themeColor="text2"/>
      <w:sz w:val="18"/>
      <w:szCs w:val="18"/>
    </w:rPr>
  </w:style>
  <w:style w:type="paragraph" w:styleId="ListParagraph">
    <w:name w:val="List Paragraph"/>
    <w:basedOn w:val="Normal"/>
    <w:uiPriority w:val="34"/>
    <w:qFormat/>
    <w:rsid w:val="00B651AC"/>
    <w:pPr>
      <w:ind w:left="720"/>
      <w:contextualSpacing/>
    </w:pPr>
  </w:style>
  <w:style w:type="paragraph" w:styleId="Bibliography">
    <w:name w:val="Bibliography"/>
    <w:basedOn w:val="Normal"/>
    <w:next w:val="Normal"/>
    <w:uiPriority w:val="37"/>
    <w:unhideWhenUsed/>
    <w:rsid w:val="00BD6416"/>
  </w:style>
  <w:style w:type="character" w:styleId="CommentReference">
    <w:name w:val="annotation reference"/>
    <w:basedOn w:val="DefaultParagraphFont"/>
    <w:rsid w:val="00EC4A48"/>
    <w:rPr>
      <w:sz w:val="16"/>
      <w:szCs w:val="16"/>
    </w:rPr>
  </w:style>
  <w:style w:type="paragraph" w:styleId="CommentText">
    <w:name w:val="annotation text"/>
    <w:basedOn w:val="Normal"/>
    <w:link w:val="CommentTextChar"/>
    <w:rsid w:val="00EC4A48"/>
  </w:style>
  <w:style w:type="character" w:customStyle="1" w:styleId="CommentTextChar">
    <w:name w:val="Comment Text Char"/>
    <w:basedOn w:val="DefaultParagraphFont"/>
    <w:link w:val="CommentText"/>
    <w:rsid w:val="00EC4A48"/>
    <w:rPr>
      <w:kern w:val="14"/>
    </w:rPr>
  </w:style>
  <w:style w:type="paragraph" w:styleId="CommentSubject">
    <w:name w:val="annotation subject"/>
    <w:basedOn w:val="CommentText"/>
    <w:next w:val="CommentText"/>
    <w:link w:val="CommentSubjectChar"/>
    <w:semiHidden/>
    <w:unhideWhenUsed/>
    <w:rsid w:val="00EC4A48"/>
    <w:rPr>
      <w:b/>
      <w:bCs/>
    </w:rPr>
  </w:style>
  <w:style w:type="character" w:customStyle="1" w:styleId="CommentSubjectChar">
    <w:name w:val="Comment Subject Char"/>
    <w:basedOn w:val="CommentTextChar"/>
    <w:link w:val="CommentSubject"/>
    <w:semiHidden/>
    <w:rsid w:val="00EC4A48"/>
    <w:rPr>
      <w:b/>
      <w:bCs/>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6292">
      <w:bodyDiv w:val="1"/>
      <w:marLeft w:val="0"/>
      <w:marRight w:val="0"/>
      <w:marTop w:val="0"/>
      <w:marBottom w:val="0"/>
      <w:divBdr>
        <w:top w:val="none" w:sz="0" w:space="0" w:color="auto"/>
        <w:left w:val="none" w:sz="0" w:space="0" w:color="auto"/>
        <w:bottom w:val="none" w:sz="0" w:space="0" w:color="auto"/>
        <w:right w:val="none" w:sz="0" w:space="0" w:color="auto"/>
      </w:divBdr>
    </w:div>
    <w:div w:id="75247311">
      <w:bodyDiv w:val="1"/>
      <w:marLeft w:val="0"/>
      <w:marRight w:val="0"/>
      <w:marTop w:val="0"/>
      <w:marBottom w:val="0"/>
      <w:divBdr>
        <w:top w:val="none" w:sz="0" w:space="0" w:color="auto"/>
        <w:left w:val="none" w:sz="0" w:space="0" w:color="auto"/>
        <w:bottom w:val="none" w:sz="0" w:space="0" w:color="auto"/>
        <w:right w:val="none" w:sz="0" w:space="0" w:color="auto"/>
      </w:divBdr>
    </w:div>
    <w:div w:id="89552433">
      <w:bodyDiv w:val="1"/>
      <w:marLeft w:val="0"/>
      <w:marRight w:val="0"/>
      <w:marTop w:val="0"/>
      <w:marBottom w:val="0"/>
      <w:divBdr>
        <w:top w:val="none" w:sz="0" w:space="0" w:color="auto"/>
        <w:left w:val="none" w:sz="0" w:space="0" w:color="auto"/>
        <w:bottom w:val="none" w:sz="0" w:space="0" w:color="auto"/>
        <w:right w:val="none" w:sz="0" w:space="0" w:color="auto"/>
      </w:divBdr>
    </w:div>
    <w:div w:id="130365680">
      <w:bodyDiv w:val="1"/>
      <w:marLeft w:val="0"/>
      <w:marRight w:val="0"/>
      <w:marTop w:val="0"/>
      <w:marBottom w:val="0"/>
      <w:divBdr>
        <w:top w:val="none" w:sz="0" w:space="0" w:color="auto"/>
        <w:left w:val="none" w:sz="0" w:space="0" w:color="auto"/>
        <w:bottom w:val="none" w:sz="0" w:space="0" w:color="auto"/>
        <w:right w:val="none" w:sz="0" w:space="0" w:color="auto"/>
      </w:divBdr>
    </w:div>
    <w:div w:id="225605872">
      <w:bodyDiv w:val="1"/>
      <w:marLeft w:val="0"/>
      <w:marRight w:val="0"/>
      <w:marTop w:val="0"/>
      <w:marBottom w:val="0"/>
      <w:divBdr>
        <w:top w:val="none" w:sz="0" w:space="0" w:color="auto"/>
        <w:left w:val="none" w:sz="0" w:space="0" w:color="auto"/>
        <w:bottom w:val="none" w:sz="0" w:space="0" w:color="auto"/>
        <w:right w:val="none" w:sz="0" w:space="0" w:color="auto"/>
      </w:divBdr>
    </w:div>
    <w:div w:id="339963997">
      <w:bodyDiv w:val="1"/>
      <w:marLeft w:val="0"/>
      <w:marRight w:val="0"/>
      <w:marTop w:val="0"/>
      <w:marBottom w:val="0"/>
      <w:divBdr>
        <w:top w:val="none" w:sz="0" w:space="0" w:color="auto"/>
        <w:left w:val="none" w:sz="0" w:space="0" w:color="auto"/>
        <w:bottom w:val="none" w:sz="0" w:space="0" w:color="auto"/>
        <w:right w:val="none" w:sz="0" w:space="0" w:color="auto"/>
      </w:divBdr>
    </w:div>
    <w:div w:id="341780398">
      <w:bodyDiv w:val="1"/>
      <w:marLeft w:val="0"/>
      <w:marRight w:val="0"/>
      <w:marTop w:val="0"/>
      <w:marBottom w:val="0"/>
      <w:divBdr>
        <w:top w:val="none" w:sz="0" w:space="0" w:color="auto"/>
        <w:left w:val="none" w:sz="0" w:space="0" w:color="auto"/>
        <w:bottom w:val="none" w:sz="0" w:space="0" w:color="auto"/>
        <w:right w:val="none" w:sz="0" w:space="0" w:color="auto"/>
      </w:divBdr>
    </w:div>
    <w:div w:id="397242399">
      <w:bodyDiv w:val="1"/>
      <w:marLeft w:val="0"/>
      <w:marRight w:val="0"/>
      <w:marTop w:val="0"/>
      <w:marBottom w:val="0"/>
      <w:divBdr>
        <w:top w:val="none" w:sz="0" w:space="0" w:color="auto"/>
        <w:left w:val="none" w:sz="0" w:space="0" w:color="auto"/>
        <w:bottom w:val="none" w:sz="0" w:space="0" w:color="auto"/>
        <w:right w:val="none" w:sz="0" w:space="0" w:color="auto"/>
      </w:divBdr>
    </w:div>
    <w:div w:id="542907784">
      <w:bodyDiv w:val="1"/>
      <w:marLeft w:val="0"/>
      <w:marRight w:val="0"/>
      <w:marTop w:val="0"/>
      <w:marBottom w:val="0"/>
      <w:divBdr>
        <w:top w:val="none" w:sz="0" w:space="0" w:color="auto"/>
        <w:left w:val="none" w:sz="0" w:space="0" w:color="auto"/>
        <w:bottom w:val="none" w:sz="0" w:space="0" w:color="auto"/>
        <w:right w:val="none" w:sz="0" w:space="0" w:color="auto"/>
      </w:divBdr>
    </w:div>
    <w:div w:id="597562682">
      <w:bodyDiv w:val="1"/>
      <w:marLeft w:val="0"/>
      <w:marRight w:val="0"/>
      <w:marTop w:val="0"/>
      <w:marBottom w:val="0"/>
      <w:divBdr>
        <w:top w:val="none" w:sz="0" w:space="0" w:color="auto"/>
        <w:left w:val="none" w:sz="0" w:space="0" w:color="auto"/>
        <w:bottom w:val="none" w:sz="0" w:space="0" w:color="auto"/>
        <w:right w:val="none" w:sz="0" w:space="0" w:color="auto"/>
      </w:divBdr>
    </w:div>
    <w:div w:id="619846103">
      <w:bodyDiv w:val="1"/>
      <w:marLeft w:val="0"/>
      <w:marRight w:val="0"/>
      <w:marTop w:val="0"/>
      <w:marBottom w:val="0"/>
      <w:divBdr>
        <w:top w:val="none" w:sz="0" w:space="0" w:color="auto"/>
        <w:left w:val="none" w:sz="0" w:space="0" w:color="auto"/>
        <w:bottom w:val="none" w:sz="0" w:space="0" w:color="auto"/>
        <w:right w:val="none" w:sz="0" w:space="0" w:color="auto"/>
      </w:divBdr>
    </w:div>
    <w:div w:id="652029839">
      <w:bodyDiv w:val="1"/>
      <w:marLeft w:val="0"/>
      <w:marRight w:val="0"/>
      <w:marTop w:val="0"/>
      <w:marBottom w:val="0"/>
      <w:divBdr>
        <w:top w:val="none" w:sz="0" w:space="0" w:color="auto"/>
        <w:left w:val="none" w:sz="0" w:space="0" w:color="auto"/>
        <w:bottom w:val="none" w:sz="0" w:space="0" w:color="auto"/>
        <w:right w:val="none" w:sz="0" w:space="0" w:color="auto"/>
      </w:divBdr>
    </w:div>
    <w:div w:id="654531369">
      <w:bodyDiv w:val="1"/>
      <w:marLeft w:val="0"/>
      <w:marRight w:val="0"/>
      <w:marTop w:val="0"/>
      <w:marBottom w:val="0"/>
      <w:divBdr>
        <w:top w:val="none" w:sz="0" w:space="0" w:color="auto"/>
        <w:left w:val="none" w:sz="0" w:space="0" w:color="auto"/>
        <w:bottom w:val="none" w:sz="0" w:space="0" w:color="auto"/>
        <w:right w:val="none" w:sz="0" w:space="0" w:color="auto"/>
      </w:divBdr>
    </w:div>
    <w:div w:id="698314139">
      <w:bodyDiv w:val="1"/>
      <w:marLeft w:val="0"/>
      <w:marRight w:val="0"/>
      <w:marTop w:val="0"/>
      <w:marBottom w:val="0"/>
      <w:divBdr>
        <w:top w:val="none" w:sz="0" w:space="0" w:color="auto"/>
        <w:left w:val="none" w:sz="0" w:space="0" w:color="auto"/>
        <w:bottom w:val="none" w:sz="0" w:space="0" w:color="auto"/>
        <w:right w:val="none" w:sz="0" w:space="0" w:color="auto"/>
      </w:divBdr>
    </w:div>
    <w:div w:id="775901519">
      <w:bodyDiv w:val="1"/>
      <w:marLeft w:val="0"/>
      <w:marRight w:val="0"/>
      <w:marTop w:val="0"/>
      <w:marBottom w:val="0"/>
      <w:divBdr>
        <w:top w:val="none" w:sz="0" w:space="0" w:color="auto"/>
        <w:left w:val="none" w:sz="0" w:space="0" w:color="auto"/>
        <w:bottom w:val="none" w:sz="0" w:space="0" w:color="auto"/>
        <w:right w:val="none" w:sz="0" w:space="0" w:color="auto"/>
      </w:divBdr>
    </w:div>
    <w:div w:id="781536138">
      <w:bodyDiv w:val="1"/>
      <w:marLeft w:val="0"/>
      <w:marRight w:val="0"/>
      <w:marTop w:val="0"/>
      <w:marBottom w:val="0"/>
      <w:divBdr>
        <w:top w:val="none" w:sz="0" w:space="0" w:color="auto"/>
        <w:left w:val="none" w:sz="0" w:space="0" w:color="auto"/>
        <w:bottom w:val="none" w:sz="0" w:space="0" w:color="auto"/>
        <w:right w:val="none" w:sz="0" w:space="0" w:color="auto"/>
      </w:divBdr>
    </w:div>
    <w:div w:id="789858052">
      <w:bodyDiv w:val="1"/>
      <w:marLeft w:val="0"/>
      <w:marRight w:val="0"/>
      <w:marTop w:val="0"/>
      <w:marBottom w:val="0"/>
      <w:divBdr>
        <w:top w:val="none" w:sz="0" w:space="0" w:color="auto"/>
        <w:left w:val="none" w:sz="0" w:space="0" w:color="auto"/>
        <w:bottom w:val="none" w:sz="0" w:space="0" w:color="auto"/>
        <w:right w:val="none" w:sz="0" w:space="0" w:color="auto"/>
      </w:divBdr>
    </w:div>
    <w:div w:id="791174014">
      <w:bodyDiv w:val="1"/>
      <w:marLeft w:val="0"/>
      <w:marRight w:val="0"/>
      <w:marTop w:val="0"/>
      <w:marBottom w:val="0"/>
      <w:divBdr>
        <w:top w:val="none" w:sz="0" w:space="0" w:color="auto"/>
        <w:left w:val="none" w:sz="0" w:space="0" w:color="auto"/>
        <w:bottom w:val="none" w:sz="0" w:space="0" w:color="auto"/>
        <w:right w:val="none" w:sz="0" w:space="0" w:color="auto"/>
      </w:divBdr>
    </w:div>
    <w:div w:id="796992350">
      <w:bodyDiv w:val="1"/>
      <w:marLeft w:val="0"/>
      <w:marRight w:val="0"/>
      <w:marTop w:val="0"/>
      <w:marBottom w:val="0"/>
      <w:divBdr>
        <w:top w:val="none" w:sz="0" w:space="0" w:color="auto"/>
        <w:left w:val="none" w:sz="0" w:space="0" w:color="auto"/>
        <w:bottom w:val="none" w:sz="0" w:space="0" w:color="auto"/>
        <w:right w:val="none" w:sz="0" w:space="0" w:color="auto"/>
      </w:divBdr>
    </w:div>
    <w:div w:id="880744855">
      <w:bodyDiv w:val="1"/>
      <w:marLeft w:val="0"/>
      <w:marRight w:val="0"/>
      <w:marTop w:val="0"/>
      <w:marBottom w:val="0"/>
      <w:divBdr>
        <w:top w:val="none" w:sz="0" w:space="0" w:color="auto"/>
        <w:left w:val="none" w:sz="0" w:space="0" w:color="auto"/>
        <w:bottom w:val="none" w:sz="0" w:space="0" w:color="auto"/>
        <w:right w:val="none" w:sz="0" w:space="0" w:color="auto"/>
      </w:divBdr>
    </w:div>
    <w:div w:id="888998913">
      <w:bodyDiv w:val="1"/>
      <w:marLeft w:val="0"/>
      <w:marRight w:val="0"/>
      <w:marTop w:val="0"/>
      <w:marBottom w:val="0"/>
      <w:divBdr>
        <w:top w:val="none" w:sz="0" w:space="0" w:color="auto"/>
        <w:left w:val="none" w:sz="0" w:space="0" w:color="auto"/>
        <w:bottom w:val="none" w:sz="0" w:space="0" w:color="auto"/>
        <w:right w:val="none" w:sz="0" w:space="0" w:color="auto"/>
      </w:divBdr>
    </w:div>
    <w:div w:id="962078780">
      <w:bodyDiv w:val="1"/>
      <w:marLeft w:val="0"/>
      <w:marRight w:val="0"/>
      <w:marTop w:val="0"/>
      <w:marBottom w:val="0"/>
      <w:divBdr>
        <w:top w:val="none" w:sz="0" w:space="0" w:color="auto"/>
        <w:left w:val="none" w:sz="0" w:space="0" w:color="auto"/>
        <w:bottom w:val="none" w:sz="0" w:space="0" w:color="auto"/>
        <w:right w:val="none" w:sz="0" w:space="0" w:color="auto"/>
      </w:divBdr>
    </w:div>
    <w:div w:id="1042292182">
      <w:bodyDiv w:val="1"/>
      <w:marLeft w:val="0"/>
      <w:marRight w:val="0"/>
      <w:marTop w:val="0"/>
      <w:marBottom w:val="0"/>
      <w:divBdr>
        <w:top w:val="none" w:sz="0" w:space="0" w:color="auto"/>
        <w:left w:val="none" w:sz="0" w:space="0" w:color="auto"/>
        <w:bottom w:val="none" w:sz="0" w:space="0" w:color="auto"/>
        <w:right w:val="none" w:sz="0" w:space="0" w:color="auto"/>
      </w:divBdr>
    </w:div>
    <w:div w:id="1044057014">
      <w:bodyDiv w:val="1"/>
      <w:marLeft w:val="0"/>
      <w:marRight w:val="0"/>
      <w:marTop w:val="0"/>
      <w:marBottom w:val="0"/>
      <w:divBdr>
        <w:top w:val="none" w:sz="0" w:space="0" w:color="auto"/>
        <w:left w:val="none" w:sz="0" w:space="0" w:color="auto"/>
        <w:bottom w:val="none" w:sz="0" w:space="0" w:color="auto"/>
        <w:right w:val="none" w:sz="0" w:space="0" w:color="auto"/>
      </w:divBdr>
    </w:div>
    <w:div w:id="1055355695">
      <w:bodyDiv w:val="1"/>
      <w:marLeft w:val="0"/>
      <w:marRight w:val="0"/>
      <w:marTop w:val="0"/>
      <w:marBottom w:val="0"/>
      <w:divBdr>
        <w:top w:val="none" w:sz="0" w:space="0" w:color="auto"/>
        <w:left w:val="none" w:sz="0" w:space="0" w:color="auto"/>
        <w:bottom w:val="none" w:sz="0" w:space="0" w:color="auto"/>
        <w:right w:val="none" w:sz="0" w:space="0" w:color="auto"/>
      </w:divBdr>
    </w:div>
    <w:div w:id="1064765608">
      <w:bodyDiv w:val="1"/>
      <w:marLeft w:val="0"/>
      <w:marRight w:val="0"/>
      <w:marTop w:val="0"/>
      <w:marBottom w:val="0"/>
      <w:divBdr>
        <w:top w:val="none" w:sz="0" w:space="0" w:color="auto"/>
        <w:left w:val="none" w:sz="0" w:space="0" w:color="auto"/>
        <w:bottom w:val="none" w:sz="0" w:space="0" w:color="auto"/>
        <w:right w:val="none" w:sz="0" w:space="0" w:color="auto"/>
      </w:divBdr>
    </w:div>
    <w:div w:id="1087187292">
      <w:bodyDiv w:val="1"/>
      <w:marLeft w:val="0"/>
      <w:marRight w:val="0"/>
      <w:marTop w:val="0"/>
      <w:marBottom w:val="0"/>
      <w:divBdr>
        <w:top w:val="none" w:sz="0" w:space="0" w:color="auto"/>
        <w:left w:val="none" w:sz="0" w:space="0" w:color="auto"/>
        <w:bottom w:val="none" w:sz="0" w:space="0" w:color="auto"/>
        <w:right w:val="none" w:sz="0" w:space="0" w:color="auto"/>
      </w:divBdr>
    </w:div>
    <w:div w:id="1335643146">
      <w:bodyDiv w:val="1"/>
      <w:marLeft w:val="0"/>
      <w:marRight w:val="0"/>
      <w:marTop w:val="0"/>
      <w:marBottom w:val="0"/>
      <w:divBdr>
        <w:top w:val="none" w:sz="0" w:space="0" w:color="auto"/>
        <w:left w:val="none" w:sz="0" w:space="0" w:color="auto"/>
        <w:bottom w:val="none" w:sz="0" w:space="0" w:color="auto"/>
        <w:right w:val="none" w:sz="0" w:space="0" w:color="auto"/>
      </w:divBdr>
    </w:div>
    <w:div w:id="1436251310">
      <w:bodyDiv w:val="1"/>
      <w:marLeft w:val="0"/>
      <w:marRight w:val="0"/>
      <w:marTop w:val="0"/>
      <w:marBottom w:val="0"/>
      <w:divBdr>
        <w:top w:val="none" w:sz="0" w:space="0" w:color="auto"/>
        <w:left w:val="none" w:sz="0" w:space="0" w:color="auto"/>
        <w:bottom w:val="none" w:sz="0" w:space="0" w:color="auto"/>
        <w:right w:val="none" w:sz="0" w:space="0" w:color="auto"/>
      </w:divBdr>
    </w:div>
    <w:div w:id="1500190473">
      <w:bodyDiv w:val="1"/>
      <w:marLeft w:val="0"/>
      <w:marRight w:val="0"/>
      <w:marTop w:val="0"/>
      <w:marBottom w:val="0"/>
      <w:divBdr>
        <w:top w:val="none" w:sz="0" w:space="0" w:color="auto"/>
        <w:left w:val="none" w:sz="0" w:space="0" w:color="auto"/>
        <w:bottom w:val="none" w:sz="0" w:space="0" w:color="auto"/>
        <w:right w:val="none" w:sz="0" w:space="0" w:color="auto"/>
      </w:divBdr>
    </w:div>
    <w:div w:id="1529292937">
      <w:bodyDiv w:val="1"/>
      <w:marLeft w:val="0"/>
      <w:marRight w:val="0"/>
      <w:marTop w:val="0"/>
      <w:marBottom w:val="0"/>
      <w:divBdr>
        <w:top w:val="none" w:sz="0" w:space="0" w:color="auto"/>
        <w:left w:val="none" w:sz="0" w:space="0" w:color="auto"/>
        <w:bottom w:val="none" w:sz="0" w:space="0" w:color="auto"/>
        <w:right w:val="none" w:sz="0" w:space="0" w:color="auto"/>
      </w:divBdr>
    </w:div>
    <w:div w:id="1534657618">
      <w:bodyDiv w:val="1"/>
      <w:marLeft w:val="0"/>
      <w:marRight w:val="0"/>
      <w:marTop w:val="0"/>
      <w:marBottom w:val="0"/>
      <w:divBdr>
        <w:top w:val="none" w:sz="0" w:space="0" w:color="auto"/>
        <w:left w:val="none" w:sz="0" w:space="0" w:color="auto"/>
        <w:bottom w:val="none" w:sz="0" w:space="0" w:color="auto"/>
        <w:right w:val="none" w:sz="0" w:space="0" w:color="auto"/>
      </w:divBdr>
    </w:div>
    <w:div w:id="1626814739">
      <w:bodyDiv w:val="1"/>
      <w:marLeft w:val="0"/>
      <w:marRight w:val="0"/>
      <w:marTop w:val="0"/>
      <w:marBottom w:val="0"/>
      <w:divBdr>
        <w:top w:val="none" w:sz="0" w:space="0" w:color="auto"/>
        <w:left w:val="none" w:sz="0" w:space="0" w:color="auto"/>
        <w:bottom w:val="none" w:sz="0" w:space="0" w:color="auto"/>
        <w:right w:val="none" w:sz="0" w:space="0" w:color="auto"/>
      </w:divBdr>
    </w:div>
    <w:div w:id="1632399979">
      <w:bodyDiv w:val="1"/>
      <w:marLeft w:val="0"/>
      <w:marRight w:val="0"/>
      <w:marTop w:val="0"/>
      <w:marBottom w:val="0"/>
      <w:divBdr>
        <w:top w:val="none" w:sz="0" w:space="0" w:color="auto"/>
        <w:left w:val="none" w:sz="0" w:space="0" w:color="auto"/>
        <w:bottom w:val="none" w:sz="0" w:space="0" w:color="auto"/>
        <w:right w:val="none" w:sz="0" w:space="0" w:color="auto"/>
      </w:divBdr>
    </w:div>
    <w:div w:id="1692029022">
      <w:bodyDiv w:val="1"/>
      <w:marLeft w:val="0"/>
      <w:marRight w:val="0"/>
      <w:marTop w:val="0"/>
      <w:marBottom w:val="0"/>
      <w:divBdr>
        <w:top w:val="none" w:sz="0" w:space="0" w:color="auto"/>
        <w:left w:val="none" w:sz="0" w:space="0" w:color="auto"/>
        <w:bottom w:val="none" w:sz="0" w:space="0" w:color="auto"/>
        <w:right w:val="none" w:sz="0" w:space="0" w:color="auto"/>
      </w:divBdr>
    </w:div>
    <w:div w:id="1751390212">
      <w:bodyDiv w:val="1"/>
      <w:marLeft w:val="0"/>
      <w:marRight w:val="0"/>
      <w:marTop w:val="0"/>
      <w:marBottom w:val="0"/>
      <w:divBdr>
        <w:top w:val="none" w:sz="0" w:space="0" w:color="auto"/>
        <w:left w:val="none" w:sz="0" w:space="0" w:color="auto"/>
        <w:bottom w:val="none" w:sz="0" w:space="0" w:color="auto"/>
        <w:right w:val="none" w:sz="0" w:space="0" w:color="auto"/>
      </w:divBdr>
    </w:div>
    <w:div w:id="1765951871">
      <w:bodyDiv w:val="1"/>
      <w:marLeft w:val="0"/>
      <w:marRight w:val="0"/>
      <w:marTop w:val="0"/>
      <w:marBottom w:val="0"/>
      <w:divBdr>
        <w:top w:val="none" w:sz="0" w:space="0" w:color="auto"/>
        <w:left w:val="none" w:sz="0" w:space="0" w:color="auto"/>
        <w:bottom w:val="none" w:sz="0" w:space="0" w:color="auto"/>
        <w:right w:val="none" w:sz="0" w:space="0" w:color="auto"/>
      </w:divBdr>
    </w:div>
    <w:div w:id="1774133419">
      <w:bodyDiv w:val="1"/>
      <w:marLeft w:val="0"/>
      <w:marRight w:val="0"/>
      <w:marTop w:val="0"/>
      <w:marBottom w:val="0"/>
      <w:divBdr>
        <w:top w:val="none" w:sz="0" w:space="0" w:color="auto"/>
        <w:left w:val="none" w:sz="0" w:space="0" w:color="auto"/>
        <w:bottom w:val="none" w:sz="0" w:space="0" w:color="auto"/>
        <w:right w:val="none" w:sz="0" w:space="0" w:color="auto"/>
      </w:divBdr>
    </w:div>
    <w:div w:id="1815290917">
      <w:bodyDiv w:val="1"/>
      <w:marLeft w:val="0"/>
      <w:marRight w:val="0"/>
      <w:marTop w:val="0"/>
      <w:marBottom w:val="0"/>
      <w:divBdr>
        <w:top w:val="none" w:sz="0" w:space="0" w:color="auto"/>
        <w:left w:val="none" w:sz="0" w:space="0" w:color="auto"/>
        <w:bottom w:val="none" w:sz="0" w:space="0" w:color="auto"/>
        <w:right w:val="none" w:sz="0" w:space="0" w:color="auto"/>
      </w:divBdr>
    </w:div>
    <w:div w:id="1824202963">
      <w:bodyDiv w:val="1"/>
      <w:marLeft w:val="0"/>
      <w:marRight w:val="0"/>
      <w:marTop w:val="0"/>
      <w:marBottom w:val="0"/>
      <w:divBdr>
        <w:top w:val="none" w:sz="0" w:space="0" w:color="auto"/>
        <w:left w:val="none" w:sz="0" w:space="0" w:color="auto"/>
        <w:bottom w:val="none" w:sz="0" w:space="0" w:color="auto"/>
        <w:right w:val="none" w:sz="0" w:space="0" w:color="auto"/>
      </w:divBdr>
    </w:div>
    <w:div w:id="1841650360">
      <w:bodyDiv w:val="1"/>
      <w:marLeft w:val="0"/>
      <w:marRight w:val="0"/>
      <w:marTop w:val="0"/>
      <w:marBottom w:val="0"/>
      <w:divBdr>
        <w:top w:val="none" w:sz="0" w:space="0" w:color="auto"/>
        <w:left w:val="none" w:sz="0" w:space="0" w:color="auto"/>
        <w:bottom w:val="none" w:sz="0" w:space="0" w:color="auto"/>
        <w:right w:val="none" w:sz="0" w:space="0" w:color="auto"/>
      </w:divBdr>
    </w:div>
    <w:div w:id="2066683347">
      <w:bodyDiv w:val="1"/>
      <w:marLeft w:val="0"/>
      <w:marRight w:val="0"/>
      <w:marTop w:val="0"/>
      <w:marBottom w:val="0"/>
      <w:divBdr>
        <w:top w:val="none" w:sz="0" w:space="0" w:color="auto"/>
        <w:left w:val="none" w:sz="0" w:space="0" w:color="auto"/>
        <w:bottom w:val="none" w:sz="0" w:space="0" w:color="auto"/>
        <w:right w:val="none" w:sz="0" w:space="0" w:color="auto"/>
      </w:divBdr>
    </w:div>
    <w:div w:id="21322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bortA\Desktop\For%20MR\JRC202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HoC19</b:Tag>
    <b:SourceType>ConferenceProceedings</b:SourceType>
    <b:Guid>{ABCD80A9-C2BC-4537-9C0E-DA73AA5FD968}</b:Guid>
    <b:Title>Overview and Deisgn Basis for the Gen 3 Particle Pilot Plant (G3P3)</b:Title>
    <b:Year>2019</b:Year>
    <b:ConferenceName>SolarPACES 2019</b:ConferenceName>
    <b:City>Daegu</b:City>
    <b:Author>
      <b:Author>
        <b:NameList>
          <b:Person>
            <b:Last>Ho</b:Last>
            <b:Middle>K</b:Middle>
            <b:First>Clifford</b:First>
          </b:Person>
          <b:Person>
            <b:Last>Albrecht</b:Last>
            <b:Middle>J</b:Middle>
            <b:First>Kevin</b:First>
          </b:Person>
          <b:Person>
            <b:Last>Yue</b:Last>
            <b:First>Lindsey</b:First>
          </b:Person>
          <b:Person>
            <b:Last>Mills</b:Last>
            <b:First>Brantley</b:First>
          </b:Person>
          <b:Person>
            <b:Last>Sment</b:Last>
            <b:First>Jeremy</b:First>
          </b:Person>
          <b:Person>
            <b:Last>Christian</b:Last>
            <b:First>Joshua</b:First>
          </b:Person>
          <b:Person>
            <b:Last>Carlson</b:Last>
            <b:First>Matthew</b:First>
          </b:Person>
        </b:NameList>
      </b:Author>
    </b:Author>
    <b:RefOrder>5</b:RefOrder>
  </b:Source>
  <b:Source>
    <b:Tag>Lau20</b:Tag>
    <b:SourceType>ConferenceProceedings</b:SourceType>
    <b:Guid>{A597CD57-00C0-441D-9146-AFDF97DDE87E}</b:Guid>
    <b:Title>Partcle-to-sCO2 Heat Exchanger Experimental Test Station Design and Construction</b:Title>
    <b:Year>2020</b:Year>
    <b:ConferenceName>SolarPACES 2020</b:ConferenceName>
    <b:City>Albquerque</b:City>
    <b:Author>
      <b:Author>
        <b:NameList>
          <b:Person>
            <b:Last>Laubscher</b:Last>
            <b:Middle>F.</b:Middle>
            <b:First>H.</b:First>
          </b:Person>
          <b:Person>
            <b:Last>Albrecht</b:Last>
            <b:Middle>J.</b:Middle>
            <b:First>K.</b:First>
          </b:Person>
        </b:NameList>
      </b:Author>
    </b:Author>
    <b:RefOrder>4</b:RefOrder>
  </b:Source>
  <b:Source>
    <b:Tag>MaZ14</b:Tag>
    <b:SourceType>JournalArticle</b:SourceType>
    <b:Guid>{A2D77983-99DD-476E-A0C2-35F644414C1A}</b:Guid>
    <b:Title>Fluidized Bed Technology for Concentrating Solar Power With Thermal Energy Storage</b:Title>
    <b:JournalName>Journal of Solar Energy Engineering</b:JournalName>
    <b:Year>2014</b:Year>
    <b:Pages>031014</b:Pages>
    <b:Volume>136</b:Volume>
    <b:Issue>3</b:Issue>
    <b:Author>
      <b:Author>
        <b:NameList>
          <b:Person>
            <b:Last>Ma</b:Last>
            <b:First>Zhiwen</b:First>
          </b:Person>
          <b:Person>
            <b:Last>Glatzmaier</b:Last>
            <b:First>Greg</b:First>
          </b:Person>
          <b:Person>
            <b:Last>Mehos</b:Last>
            <b:First>Mark</b:First>
          </b:Person>
        </b:NameList>
      </b:Author>
    </b:Author>
    <b:RefOrder>10</b:RefOrder>
  </b:Source>
  <b:Source>
    <b:Tag>Car16</b:Tag>
    <b:SourceType>ConferenceProceedings</b:SourceType>
    <b:Guid>{F2F3AB5B-79BB-4065-AEA2-F94FD0BA9E61}</b:Guid>
    <b:Title>A Particle/sCO2 Heat Exchanger Testbed and Reference Cycle Cost</b:Title>
    <b:Year>2016</b:Year>
    <b:Author>
      <b:Author>
        <b:NameList>
          <b:Person>
            <b:Last>Carlson</b:Last>
            <b:Middle>D</b:Middle>
            <b:First>M</b:First>
          </b:Person>
          <b:Person>
            <b:Last>Ho</b:Last>
            <b:Middle>K</b:Middle>
            <b:First>C</b:First>
          </b:Person>
        </b:NameList>
      </b:Author>
    </b:Author>
    <b:ConferenceName>Proceedings of the ASME 10th International Conference on Energy Sustainability</b:ConferenceName>
    <b:City>Charlotte</b:City>
    <b:RefOrder>8</b:RefOrder>
  </b:Source>
  <b:Source>
    <b:Tag>Alb192</b:Tag>
    <b:SourceType>ConferenceProceedings</b:SourceType>
    <b:Guid>{A8DD686D-1FB0-4BE8-84EB-B144420E6123}</b:Guid>
    <b:Title>Testing and Model Validation of a Prototype Moving Packed-Bed Particle-to-sCO2 Heat Exchanger</b:Title>
    <b:Year>2019</b:Year>
    <b:City>Daegu, South Korea</b:City>
    <b:ConferenceName>SolarPACES 2019</b:ConferenceName>
    <b:Author>
      <b:Author>
        <b:NameList>
          <b:Person>
            <b:Last>Albrecht</b:Last>
            <b:Middle>J</b:Middle>
            <b:First>Kevin</b:First>
          </b:Person>
          <b:Person>
            <b:Last>Carlson</b:Last>
            <b:Middle>D</b:Middle>
            <b:First>Matthew</b:First>
          </b:Person>
          <b:Person>
            <b:Last>Laubscher</b:Last>
            <b:Middle>F</b:Middle>
            <b:First>Hendrik</b:First>
          </b:Person>
          <b:Person>
            <b:Last>Crandell</b:Last>
            <b:First>Robert</b:First>
          </b:Person>
          <b:Person>
            <b:Last>DeLovato</b:Last>
            <b:First>Nicolas</b:First>
          </b:Person>
          <b:Person>
            <b:Last>Ho</b:Last>
            <b:Middle>K</b:Middle>
            <b:First>Clifford</b:First>
          </b:Person>
        </b:NameList>
      </b:Author>
    </b:Author>
    <b:RefOrder>9</b:RefOrder>
  </b:Source>
  <b:Source>
    <b:Tag>Alb193</b:Tag>
    <b:SourceType>ConferenceProceedings</b:SourceType>
    <b:Guid>{26382399-F146-478C-BE39-89929B2BEAD8}</b:Guid>
    <b:Title>Parametric Analysis of Particle CSP System Performance and Cost to Intrinsic particle Properties and Operating Conditions</b:Title>
    <b:Year>2019</b:Year>
    <b:ConferenceName>ASME 2019 13th International Conference on Energy Sustainability</b:ConferenceName>
    <b:City>Bellevue</b:City>
    <b:Author>
      <b:Author>
        <b:NameList>
          <b:Person>
            <b:Last>Albrecht</b:Last>
            <b:Middle>J</b:Middle>
            <b:First>Kevin</b:First>
          </b:Person>
          <b:Person>
            <b:Last>Bauer</b:Last>
            <b:Middle>L</b:Middle>
            <b:First>Matthew</b:First>
          </b:Person>
          <b:Person>
            <b:Last>Ho</b:Last>
            <b:Middle>K</b:Middle>
            <b:First>Clifford</b:First>
          </b:Person>
        </b:NameList>
      </b:Author>
    </b:Author>
    <b:RefOrder>2</b:RefOrder>
  </b:Source>
  <b:Source>
    <b:Tag>AlA12</b:Tag>
    <b:SourceType>JournalArticle</b:SourceType>
    <b:Guid>{BC311685-9131-43F9-8EB8-98F3AD1BBAA2}</b:Guid>
    <b:Title>Experimental Study of a Sand-Air Heat Exchanger for Use With a High-Temperature Solar Gas Turbine</b:Title>
    <b:Year>2012</b:Year>
    <b:JournalName>Journal of Solar Energy Engineering</b:JournalName>
    <b:Pages>041017-1-7</b:Pages>
    <b:Volume>134</b:Volume>
    <b:Author>
      <b:Author>
        <b:NameList>
          <b:Person>
            <b:Last>Al-Ansary</b:Last>
            <b:First>Hany</b:First>
          </b:Person>
          <b:Person>
            <b:Last>El-Leathy</b:Last>
            <b:First>Abdelrahman</b:First>
          </b:Person>
          <b:Person>
            <b:Last>Al-Suhaibani</b:Last>
            <b:First>Zeyad</b:First>
          </b:Person>
          <b:Person>
            <b:Last>Jeter</b:Last>
            <b:First>Sheldon</b:First>
          </b:Person>
          <b:Person>
            <b:Last>Sadowski</b:Last>
            <b:First>Dennis</b:First>
          </b:Person>
          <b:Person>
            <b:Last>Alrished</b:Last>
            <b:First>Abdulaziz</b:First>
          </b:Person>
          <b:Person>
            <b:Last>Golob</b:Last>
            <b:First>Matthew</b:First>
          </b:Person>
        </b:NameList>
      </b:Author>
    </b:Author>
    <b:RefOrder>6</b:RefOrder>
  </b:Source>
  <b:Source>
    <b:Tag>Bau15</b:Tag>
    <b:SourceType>ConferenceProceedings</b:SourceType>
    <b:Guid>{A9FCB447-090E-4BBD-8DE0-7770BB50399C}</b:Guid>
    <b:Title>Development and performance assessment of a moving bed heat exchanger for solar central receiver power plants</b:Title>
    <b:Year>2015</b:Year>
    <b:ConferenceName>SolarPACES 2014</b:ConferenceName>
    <b:City>Beijing</b:City>
    <b:Author>
      <b:Author>
        <b:NameList>
          <b:Person>
            <b:Last>Baumann</b:Last>
            <b:First>T.</b:First>
          </b:Person>
          <b:Person>
            <b:Last>Zunft</b:Last>
            <b:First>S.</b:First>
          </b:Person>
        </b:NameList>
      </b:Author>
    </b:Author>
    <b:RefOrder>7</b:RefOrder>
  </b:Source>
  <b:Source>
    <b:Tag>Meh17</b:Tag>
    <b:SourceType>Report</b:SourceType>
    <b:Guid>{89AC3747-D20C-4F57-A0AD-6C076DCD5169}</b:Guid>
    <b:Title>Concentrating Solar Power Gen3 Demonstration Roadmap</b:Title>
    <b:Year>2017</b:Year>
    <b:City>Golden</b:City>
    <b:Author>
      <b:Author>
        <b:NameList>
          <b:Person>
            <b:Last>Mehos</b:Last>
            <b:First>Mark</b:First>
          </b:Person>
          <b:Person>
            <b:Last>Turchi</b:Last>
            <b:First>Craig</b:First>
          </b:Person>
          <b:Person>
            <b:Last>Vidal</b:Last>
            <b:First>Judith</b:First>
          </b:Person>
          <b:Person>
            <b:Last>Wagner</b:Last>
            <b:First>Michael</b:First>
          </b:Person>
          <b:Person>
            <b:Last>Ma</b:Last>
            <b:First>Zhiwen</b:First>
          </b:Person>
          <b:Person>
            <b:Last>Ho</b:Last>
            <b:First>Clifford</b:First>
          </b:Person>
          <b:Person>
            <b:Last>Kolb</b:Last>
            <b:First>William</b:First>
          </b:Person>
          <b:Person>
            <b:Last>Andraka</b:Last>
            <b:First>Charles</b:First>
          </b:Person>
          <b:Person>
            <b:Last>Kruizenga</b:Last>
            <b:First>Alan</b:First>
          </b:Person>
        </b:NameList>
      </b:Author>
    </b:Author>
    <b:Publisher>National Renewable Energy Laboratory</b:Publisher>
    <b:RefOrder>1</b:RefOrder>
  </b:Source>
  <b:Source>
    <b:Tag>HoC18</b:Tag>
    <b:SourceType>ConferenceProceedings</b:SourceType>
    <b:Guid>{11681B23-6D0D-4E37-A1E5-103E7E681455}</b:Guid>
    <b:Title>Evaluation of Alternative Designs fo a High Temperature Particle-to-sCO2 Heat Exchanger</b:Title>
    <b:Year>2018</b:Year>
    <b:ConferenceName>ASME 12th International Conference on Energy and Sustanability</b:ConferenceName>
    <b:City>Lake Buena Vista</b:City>
    <b:Author>
      <b:Author>
        <b:NameList>
          <b:Person>
            <b:Last>Ho</b:Last>
            <b:Middle>K.</b:Middle>
            <b:First>Clifford</b:First>
          </b:Person>
          <b:Person>
            <b:Last>Carlson</b:Last>
            <b:First>Matthew</b:First>
          </b:Person>
          <b:Person>
            <b:Last>Albrecht</b:Last>
            <b:Middle>J.</b:Middle>
            <b:First>Kevin</b:First>
          </b:Person>
          <b:Person>
            <b:Last>Ma</b:Last>
            <b:First>Zhiwen</b:First>
          </b:Person>
          <b:Person>
            <b:Last>Jeter</b:Last>
            <b:First>Sheldon</b:First>
          </b:Person>
          <b:Person>
            <b:Last>Nguyen</b:Last>
            <b:Middle>M.</b:Middle>
            <b:First>Clayton</b:First>
          </b:Person>
        </b:NameList>
      </b:Author>
    </b:Author>
    <b:RefOrder>3</b:RefOrder>
  </b:Source>
</b:Sources>
</file>

<file path=customXml/itemProps1.xml><?xml version="1.0" encoding="utf-8"?>
<ds:datastoreItem xmlns:ds="http://schemas.openxmlformats.org/officeDocument/2006/customXml" ds:itemID="{2F3DB1B6-7FC1-4C14-8BA4-1E7D4CFF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JRC2021 template.dotx</Template>
  <TotalTime>1</TotalTime>
  <Pages>6</Pages>
  <Words>2965</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Proceedings of</vt:lpstr>
    </vt:vector>
  </TitlesOfParts>
  <Company>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Anthony Kibort</dc:creator>
  <cp:keywords/>
  <dc:description/>
  <cp:lastModifiedBy>Sullivan, Kelly Joann</cp:lastModifiedBy>
  <cp:revision>2</cp:revision>
  <cp:lastPrinted>2021-04-12T20:34:00Z</cp:lastPrinted>
  <dcterms:created xsi:type="dcterms:W3CDTF">2021-05-05T18:25:00Z</dcterms:created>
  <dcterms:modified xsi:type="dcterms:W3CDTF">2021-05-05T18:25:00Z</dcterms:modified>
</cp:coreProperties>
</file>